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8D7" w:rsidRDefault="003D3757">
      <w:pPr>
        <w:pStyle w:val="aff"/>
        <w:pBdr>
          <w:bottom w:val="single" w:sz="4" w:space="1" w:color="auto"/>
        </w:pBdr>
        <w:ind w:firstLine="567"/>
        <w:rPr>
          <w:szCs w:val="28"/>
        </w:rPr>
      </w:pPr>
      <w:r>
        <w:rPr>
          <w:szCs w:val="28"/>
        </w:rPr>
        <w:t>НАЦИОНАЛЬНЫЙ СТАНДАРТ РЕСПУБЛИКИ КАЗАХСТАН</w:t>
      </w:r>
    </w:p>
    <w:p w:rsidR="005108D7" w:rsidRDefault="005108D7">
      <w:pPr>
        <w:rPr>
          <w:szCs w:val="28"/>
        </w:rPr>
      </w:pPr>
    </w:p>
    <w:p w:rsidR="005108D7" w:rsidRDefault="003D3757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Стационарное тренировочное оборудование. </w:t>
      </w:r>
    </w:p>
    <w:p w:rsidR="005108D7" w:rsidRDefault="003D3757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Часть 4. </w:t>
      </w:r>
    </w:p>
    <w:p w:rsidR="005108D7" w:rsidRDefault="00224A64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СКАМЬИ ДЛЯ СИЛОВЫХ ТРЕНИРОВОК. </w:t>
      </w:r>
    </w:p>
    <w:p w:rsidR="005108D7" w:rsidRDefault="003D3757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bCs/>
          <w:szCs w:val="28"/>
        </w:rPr>
      </w:pPr>
      <w:r>
        <w:rPr>
          <w:b/>
          <w:bCs/>
          <w:szCs w:val="28"/>
        </w:rPr>
        <w:t>Требования безопасности</w:t>
      </w:r>
    </w:p>
    <w:p w:rsidR="005108D7" w:rsidRDefault="005108D7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bCs/>
          <w:szCs w:val="28"/>
        </w:rPr>
      </w:pPr>
    </w:p>
    <w:p w:rsidR="005108D7" w:rsidRDefault="005108D7">
      <w:pPr>
        <w:tabs>
          <w:tab w:val="left" w:pos="0"/>
        </w:tabs>
        <w:ind w:firstLine="567"/>
        <w:jc w:val="right"/>
        <w:rPr>
          <w:b/>
          <w:bCs/>
          <w:szCs w:val="28"/>
        </w:rPr>
      </w:pPr>
    </w:p>
    <w:p w:rsidR="005108D7" w:rsidRDefault="003D3757">
      <w:pPr>
        <w:tabs>
          <w:tab w:val="left" w:pos="0"/>
        </w:tabs>
        <w:ind w:firstLine="567"/>
        <w:jc w:val="right"/>
        <w:rPr>
          <w:b/>
          <w:bCs/>
          <w:szCs w:val="28"/>
        </w:rPr>
      </w:pPr>
      <w:r>
        <w:rPr>
          <w:b/>
          <w:bCs/>
          <w:szCs w:val="28"/>
        </w:rPr>
        <w:t xml:space="preserve">Дата введения  ________________ </w:t>
      </w:r>
    </w:p>
    <w:p w:rsidR="005108D7" w:rsidRDefault="005108D7">
      <w:pPr>
        <w:ind w:firstLineChars="200" w:firstLine="560"/>
      </w:pP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bookmarkStart w:id="0" w:name="OLE_LINK39"/>
      <w:bookmarkStart w:id="1" w:name="OLE_LINK38"/>
      <w:bookmarkStart w:id="2" w:name="OLE_LINK37"/>
      <w:r>
        <w:rPr>
          <w:b/>
          <w:bCs/>
          <w:lang w:eastAsia="en-US"/>
        </w:rPr>
        <w:t>1 Область применения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 xml:space="preserve">Настоящий </w:t>
      </w:r>
      <w:r>
        <w:rPr>
          <w:lang w:eastAsia="en-US"/>
        </w:rPr>
        <w:t>стандарт</w:t>
      </w:r>
      <w:r>
        <w:rPr>
          <w:lang w:eastAsia="en-US"/>
        </w:rPr>
        <w:t xml:space="preserve"> определяет требования безопасности для стационарных тренажеров для развития силы и отдельно стоящих опор для штанги в дополнение к общим требованиям безопасности ISO 20957-1:2013. </w:t>
      </w:r>
      <w:r w:rsidR="00224A64">
        <w:rPr>
          <w:lang w:eastAsia="en-US"/>
        </w:rPr>
        <w:t>Стандарт</w:t>
      </w:r>
      <w:r>
        <w:rPr>
          <w:lang w:eastAsia="en-US"/>
        </w:rPr>
        <w:t xml:space="preserve"> следует применять параллельно с ISO 20957-1:2013.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 xml:space="preserve">Настоящий </w:t>
      </w:r>
      <w:r>
        <w:rPr>
          <w:lang w:eastAsia="en-US"/>
        </w:rPr>
        <w:t>стандарт</w:t>
      </w:r>
      <w:r>
        <w:rPr>
          <w:lang w:eastAsia="en-US"/>
        </w:rPr>
        <w:t xml:space="preserve"> ра</w:t>
      </w:r>
      <w:r>
        <w:rPr>
          <w:lang w:eastAsia="en-US"/>
        </w:rPr>
        <w:t xml:space="preserve">спространяется на стационарное оборудование типа скамьи (тип 4) (далее </w:t>
      </w:r>
      <w:r w:rsidR="00224A64">
        <w:rPr>
          <w:lang w:eastAsia="en-US"/>
        </w:rPr>
        <w:t xml:space="preserve">- </w:t>
      </w:r>
      <w:r>
        <w:rPr>
          <w:lang w:eastAsia="en-US"/>
        </w:rPr>
        <w:t>скамь</w:t>
      </w:r>
      <w:r>
        <w:rPr>
          <w:lang w:eastAsia="en-US"/>
        </w:rPr>
        <w:t>и) классов S, H и I в соответствии с</w:t>
      </w:r>
      <w:r w:rsidR="00224A64">
        <w:rPr>
          <w:lang w:eastAsia="en-US"/>
        </w:rPr>
        <w:t xml:space="preserve">                  </w:t>
      </w:r>
      <w:r>
        <w:rPr>
          <w:lang w:eastAsia="en-US"/>
        </w:rPr>
        <w:t xml:space="preserve"> ISO 20957-1:2013.</w:t>
      </w:r>
    </w:p>
    <w:p w:rsidR="005108D7" w:rsidRDefault="005108D7">
      <w:pPr>
        <w:ind w:firstLineChars="200" w:firstLine="560"/>
        <w:rPr>
          <w:lang w:eastAsia="en-US"/>
        </w:rPr>
      </w:pP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t>2 Нормативные ссылки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В тексте содержатся ссылки на следующие документы, приведен</w:t>
      </w:r>
      <w:r w:rsidR="00224A64">
        <w:rPr>
          <w:lang w:eastAsia="en-US"/>
        </w:rPr>
        <w:t>ы таким образом, что</w:t>
      </w:r>
      <w:r>
        <w:rPr>
          <w:lang w:eastAsia="en-US"/>
        </w:rPr>
        <w:t xml:space="preserve"> полность</w:t>
      </w:r>
      <w:r>
        <w:rPr>
          <w:lang w:eastAsia="en-US"/>
        </w:rPr>
        <w:t>ю или частично их содержание представляет собой требования этого документа. Для датированных ссылок применяется только указанное издание. Для недатированных ссылок применяется последнее издание справочного документа, включая все изменения.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ISO 20957-1:2013</w:t>
      </w:r>
      <w:r>
        <w:rPr>
          <w:lang w:eastAsia="en-US"/>
        </w:rPr>
        <w:t xml:space="preserve"> Тренажеры стационарные — Часть 1: Общие требования безопасности и методы испытаний (Stationary training equipment — Part 1: General safety requirements and test methods).</w:t>
      </w:r>
    </w:p>
    <w:p w:rsidR="005108D7" w:rsidRDefault="005108D7">
      <w:pPr>
        <w:ind w:firstLineChars="200" w:firstLine="560"/>
        <w:rPr>
          <w:lang w:eastAsia="en-US"/>
        </w:rPr>
      </w:pP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t>3 Термины и определения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 xml:space="preserve">В рамках данного документа применяются термины и </w:t>
      </w:r>
      <w:r>
        <w:rPr>
          <w:lang w:eastAsia="en-US"/>
        </w:rPr>
        <w:t>определения, приведенные в ISO 20957-1:2013.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ISO и IEC поддерживают терминологические базы данных для применения их в сфере стандартизации; их можно найти в следующих источниках:</w:t>
      </w:r>
    </w:p>
    <w:p w:rsidR="005108D7" w:rsidRDefault="003D3757">
      <w:pPr>
        <w:ind w:firstLineChars="200" w:firstLine="560"/>
        <w:rPr>
          <w:lang w:val="en-US" w:eastAsia="en-US"/>
        </w:rPr>
      </w:pPr>
      <w:r>
        <w:rPr>
          <w:lang w:val="en-US" w:eastAsia="en-US"/>
        </w:rPr>
        <w:t xml:space="preserve">— IEC Electropedia: </w:t>
      </w:r>
      <w:hyperlink r:id="rId10" w:history="1">
        <w:r>
          <w:rPr>
            <w:rStyle w:val="a8"/>
            <w:color w:val="auto"/>
            <w:szCs w:val="28"/>
            <w:lang w:val="en-US" w:eastAsia="en-US"/>
          </w:rPr>
          <w:t>http: //www. el</w:t>
        </w:r>
        <w:r>
          <w:rPr>
            <w:rStyle w:val="a8"/>
            <w:color w:val="auto"/>
            <w:szCs w:val="28"/>
            <w:lang w:val="en-US" w:eastAsia="en-US"/>
          </w:rPr>
          <w:t>ectropedia. org/</w:t>
        </w:r>
      </w:hyperlink>
    </w:p>
    <w:p w:rsidR="005108D7" w:rsidRDefault="003D3757">
      <w:pPr>
        <w:ind w:firstLineChars="200" w:firstLine="560"/>
        <w:rPr>
          <w:rStyle w:val="a8"/>
          <w:color w:val="auto"/>
          <w:szCs w:val="28"/>
          <w:lang w:eastAsia="en-US"/>
        </w:rPr>
      </w:pPr>
      <w:r>
        <w:rPr>
          <w:lang w:eastAsia="en-US"/>
        </w:rPr>
        <w:t xml:space="preserve">— </w:t>
      </w:r>
      <w:r>
        <w:t xml:space="preserve">онлайн-платформа просмотра файлов </w:t>
      </w:r>
      <w:r>
        <w:rPr>
          <w:lang w:eastAsia="en-US"/>
        </w:rPr>
        <w:t xml:space="preserve">ISO: </w:t>
      </w:r>
      <w:hyperlink r:id="rId11" w:history="1">
        <w:r>
          <w:rPr>
            <w:rStyle w:val="a8"/>
            <w:color w:val="auto"/>
            <w:szCs w:val="28"/>
            <w:lang w:eastAsia="en-US"/>
          </w:rPr>
          <w:t>http://www.iso.org/obp</w:t>
        </w:r>
      </w:hyperlink>
    </w:p>
    <w:p w:rsidR="00224A64" w:rsidRDefault="00224A64">
      <w:pPr>
        <w:ind w:firstLineChars="200" w:firstLine="560"/>
        <w:rPr>
          <w:lang w:eastAsia="en-US"/>
        </w:rPr>
      </w:pPr>
    </w:p>
    <w:p w:rsidR="005108D7" w:rsidRDefault="005108D7">
      <w:pPr>
        <w:rPr>
          <w:lang w:eastAsia="en-US"/>
        </w:rPr>
      </w:pP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lastRenderedPageBreak/>
        <w:t>4 Классификация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Классификация должна соответствовать ISO 20957-1:2013.</w:t>
      </w:r>
      <w:bookmarkStart w:id="3" w:name="bookmark3"/>
    </w:p>
    <w:p w:rsidR="005108D7" w:rsidRDefault="005108D7">
      <w:pPr>
        <w:ind w:firstLineChars="200" w:firstLine="560"/>
        <w:rPr>
          <w:lang w:eastAsia="en-US"/>
        </w:rPr>
      </w:pP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t>5</w:t>
      </w:r>
      <w:bookmarkEnd w:id="3"/>
      <w:r>
        <w:rPr>
          <w:b/>
          <w:bCs/>
          <w:lang w:eastAsia="en-US"/>
        </w:rPr>
        <w:t xml:space="preserve"> Требования безопасности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t>5.1 Общие положения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 xml:space="preserve">В </w:t>
      </w:r>
      <w:r>
        <w:rPr>
          <w:lang w:eastAsia="en-US"/>
        </w:rPr>
        <w:t xml:space="preserve">зависимости от дизайна тренажера, при необходимости применяются </w:t>
      </w:r>
      <w:r w:rsidR="00224A64">
        <w:rPr>
          <w:lang w:eastAsia="en-US"/>
        </w:rPr>
        <w:t>ниже</w:t>
      </w:r>
      <w:r>
        <w:rPr>
          <w:lang w:eastAsia="en-US"/>
        </w:rPr>
        <w:t>следующие требования.</w:t>
      </w:r>
    </w:p>
    <w:p w:rsidR="005108D7" w:rsidRDefault="005108D7">
      <w:pPr>
        <w:ind w:firstLineChars="200" w:firstLine="560"/>
        <w:rPr>
          <w:lang w:eastAsia="en-US"/>
        </w:rPr>
      </w:pP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5.2 Скамьи с фиксированной опорой для штанги 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t>5.2.1 Устойчивость штанги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Опрокидывание штанги из-за неравномерной нагрузки не допускается либо за счет регулирования расс</w:t>
      </w:r>
      <w:r>
        <w:rPr>
          <w:lang w:eastAsia="en-US"/>
        </w:rPr>
        <w:t>тояния между опорами, либо с помощью предохранительного устройства.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 xml:space="preserve">Протестировать в соответствии с п. </w:t>
      </w:r>
      <w:hyperlink w:anchor="bookmark13" w:history="1">
        <w:r>
          <w:rPr>
            <w:lang w:eastAsia="en-US"/>
          </w:rPr>
          <w:t>6.2</w:t>
        </w:r>
      </w:hyperlink>
      <w:r>
        <w:rPr>
          <w:lang w:eastAsia="en-US"/>
        </w:rPr>
        <w:t>.</w:t>
      </w: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t>5.2.2 Устойчивость скамьи с фиксированной опорой для штанги в поперечном направлении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Скамьи с фиксированной опорой для</w:t>
      </w:r>
      <w:r>
        <w:rPr>
          <w:lang w:eastAsia="en-US"/>
        </w:rPr>
        <w:t xml:space="preserve"> штанги должны быть устойчивыми при неравномерной нагрузке под прямым углом к продольной оси.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 xml:space="preserve">Протестировать в соответствии с п. </w:t>
      </w:r>
      <w:hyperlink w:anchor="bookmark13" w:history="1">
        <w:r>
          <w:rPr>
            <w:lang w:eastAsia="en-US"/>
          </w:rPr>
          <w:t>6.3</w:t>
        </w:r>
      </w:hyperlink>
      <w:r>
        <w:rPr>
          <w:lang w:eastAsia="en-US"/>
        </w:rPr>
        <w:t>.</w:t>
      </w: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t>5.2.3 Устойчивость скамьи с фиксированной опорой для штанги в продольном направлении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 xml:space="preserve">Скамьи </w:t>
      </w:r>
      <w:r>
        <w:rPr>
          <w:lang w:eastAsia="en-US"/>
        </w:rPr>
        <w:t>с фиксированной опорой для штанги должны быть устойчивыми в продольном направлении по отношению к скамье.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 xml:space="preserve">Протестировать в соответствии с п. </w:t>
      </w:r>
      <w:hyperlink w:anchor="bookmark15" w:history="1">
        <w:r>
          <w:rPr>
            <w:lang w:eastAsia="en-US"/>
          </w:rPr>
          <w:t>6.4</w:t>
        </w:r>
      </w:hyperlink>
      <w:r>
        <w:rPr>
          <w:lang w:eastAsia="en-US"/>
        </w:rPr>
        <w:t>.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t>5.3 Отдельно стоящие опоры для штанги</w:t>
      </w:r>
    </w:p>
    <w:p w:rsidR="005108D7" w:rsidRDefault="005108D7">
      <w:pPr>
        <w:ind w:firstLineChars="200" w:firstLine="560"/>
        <w:rPr>
          <w:lang w:eastAsia="en-US"/>
        </w:rPr>
      </w:pP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Отдельно стоящие опоры для штанги должны</w:t>
      </w:r>
      <w:r>
        <w:rPr>
          <w:lang w:eastAsia="en-US"/>
        </w:rPr>
        <w:t xml:space="preserve"> иметь устройство крепления к поверхности.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 xml:space="preserve">Протестировать в соответствии с п. </w:t>
      </w:r>
      <w:hyperlink w:anchor="bookmark9" w:history="1">
        <w:r>
          <w:rPr>
            <w:lang w:eastAsia="en-US"/>
          </w:rPr>
          <w:t>6.1.2</w:t>
        </w:r>
      </w:hyperlink>
      <w:r>
        <w:rPr>
          <w:lang w:eastAsia="en-US"/>
        </w:rPr>
        <w:t>.</w:t>
      </w:r>
    </w:p>
    <w:p w:rsidR="005108D7" w:rsidRDefault="005108D7">
      <w:pPr>
        <w:ind w:firstLineChars="200" w:firstLine="560"/>
        <w:rPr>
          <w:lang w:eastAsia="en-US"/>
        </w:rPr>
      </w:pP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t>5.4 Размеры опоры для штанги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 xml:space="preserve">При измерении с помощью стержня диаметром (30 ± 1) мм передняя часть опоры (крестовины) должна иметь высоту по </w:t>
      </w:r>
      <w:r w:rsidR="00224A64">
        <w:rPr>
          <w:lang w:eastAsia="en-US"/>
        </w:rPr>
        <w:t xml:space="preserve">вертикали от 20 </w:t>
      </w:r>
      <w:r w:rsidR="00224A64">
        <w:rPr>
          <w:lang w:eastAsia="en-US"/>
        </w:rPr>
        <w:t xml:space="preserve">мм </w:t>
      </w:r>
      <w:r w:rsidR="00224A64">
        <w:rPr>
          <w:lang w:eastAsia="en-US"/>
        </w:rPr>
        <w:t>до            40 мм (</w:t>
      </w:r>
      <w:r>
        <w:rPr>
          <w:lang w:eastAsia="en-US"/>
        </w:rPr>
        <w:t>сноск</w:t>
      </w:r>
      <w:r w:rsidR="00224A64">
        <w:rPr>
          <w:lang w:eastAsia="en-US"/>
        </w:rPr>
        <w:t>а</w:t>
      </w:r>
      <w:r>
        <w:rPr>
          <w:lang w:eastAsia="en-US"/>
        </w:rPr>
        <w:t xml:space="preserve"> </w:t>
      </w:r>
      <w:r w:rsidRPr="00224A64">
        <w:rPr>
          <w:vertAlign w:val="superscript"/>
          <w:lang w:eastAsia="en-US"/>
        </w:rPr>
        <w:t>а</w:t>
      </w:r>
      <w:r>
        <w:rPr>
          <w:lang w:eastAsia="en-US"/>
        </w:rPr>
        <w:t xml:space="preserve"> на </w:t>
      </w:r>
      <w:hyperlink w:anchor="bookmark5" w:history="1">
        <w:r>
          <w:rPr>
            <w:lang w:eastAsia="en-US"/>
          </w:rPr>
          <w:t>рисунке 1</w:t>
        </w:r>
      </w:hyperlink>
      <w:r>
        <w:rPr>
          <w:lang w:eastAsia="en-US"/>
        </w:rPr>
        <w:t>) над самой нижней точкой опорной перекладины, а задняя часть должна быть ≥80 мм выше вершины передней части опоры (крестовины) (</w:t>
      </w:r>
      <w:hyperlink w:anchor="bookmark5" w:history="1">
        <w:r>
          <w:rPr>
            <w:lang w:eastAsia="en-US"/>
          </w:rPr>
          <w:t>рисунок 1</w:t>
        </w:r>
      </w:hyperlink>
      <w:r>
        <w:rPr>
          <w:lang w:eastAsia="en-US"/>
        </w:rPr>
        <w:t>).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Пр</w:t>
      </w:r>
      <w:r>
        <w:rPr>
          <w:lang w:eastAsia="en-US"/>
        </w:rPr>
        <w:t xml:space="preserve">отестировать в соответствии с п. </w:t>
      </w:r>
      <w:hyperlink w:anchor="bookmark8" w:history="1">
        <w:r>
          <w:rPr>
            <w:lang w:eastAsia="en-US"/>
          </w:rPr>
          <w:t>6.1.1</w:t>
        </w:r>
      </w:hyperlink>
      <w:r>
        <w:rPr>
          <w:lang w:eastAsia="en-US"/>
        </w:rPr>
        <w:t>.</w:t>
      </w:r>
    </w:p>
    <w:p w:rsidR="005108D7" w:rsidRDefault="005108D7">
      <w:pPr>
        <w:ind w:firstLineChars="200" w:firstLine="560"/>
        <w:rPr>
          <w:lang w:eastAsia="en-US"/>
        </w:rPr>
      </w:pPr>
    </w:p>
    <w:p w:rsidR="005108D7" w:rsidRDefault="003D3757">
      <w:pPr>
        <w:ind w:firstLineChars="200" w:firstLine="400"/>
        <w:jc w:val="right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lastRenderedPageBreak/>
        <w:t>Размеры в миллиметрах</w:t>
      </w:r>
    </w:p>
    <w:p w:rsidR="005108D7" w:rsidRDefault="003D3757">
      <w:pPr>
        <w:ind w:firstLineChars="200" w:firstLine="560"/>
        <w:jc w:val="center"/>
        <w:rPr>
          <w:lang w:eastAsia="en-US"/>
        </w:rPr>
      </w:pPr>
      <w:r>
        <w:rPr>
          <w:noProof/>
        </w:rPr>
        <w:drawing>
          <wp:inline distT="0" distB="0" distL="0" distR="0" wp14:anchorId="5A22DF10" wp14:editId="06D451F1">
            <wp:extent cx="3073400" cy="3202305"/>
            <wp:effectExtent l="0" t="0" r="0" b="1079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3400" cy="320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8D7" w:rsidRDefault="005108D7">
      <w:pPr>
        <w:ind w:firstLineChars="200" w:firstLine="440"/>
        <w:rPr>
          <w:sz w:val="22"/>
          <w:szCs w:val="22"/>
          <w:lang w:eastAsia="en-US"/>
        </w:rPr>
      </w:pPr>
    </w:p>
    <w:p w:rsidR="005108D7" w:rsidRDefault="003D3757" w:rsidP="00224A64">
      <w:pPr>
        <w:ind w:firstLineChars="200" w:firstLine="562"/>
        <w:rPr>
          <w:b/>
          <w:bCs/>
          <w:szCs w:val="28"/>
          <w:lang w:eastAsia="en-US"/>
        </w:rPr>
      </w:pPr>
      <w:r>
        <w:rPr>
          <w:b/>
          <w:bCs/>
          <w:szCs w:val="28"/>
          <w:lang w:eastAsia="en-US"/>
        </w:rPr>
        <w:t>Условное обозначение</w:t>
      </w:r>
    </w:p>
    <w:p w:rsidR="005108D7" w:rsidRDefault="003D3757">
      <w:pPr>
        <w:ind w:firstLineChars="200" w:firstLine="560"/>
        <w:rPr>
          <w:szCs w:val="28"/>
          <w:lang w:eastAsia="en-US"/>
        </w:rPr>
      </w:pPr>
      <w:r>
        <w:rPr>
          <w:szCs w:val="28"/>
          <w:lang w:eastAsia="en-US"/>
        </w:rPr>
        <w:t xml:space="preserve">a - Вертикальная высота опоры для штанги </w:t>
      </w:r>
      <w:r w:rsidR="00224A64">
        <w:rPr>
          <w:szCs w:val="28"/>
          <w:lang w:eastAsia="en-US"/>
        </w:rPr>
        <w:t xml:space="preserve">от 20 мм до </w:t>
      </w:r>
      <w:r>
        <w:rPr>
          <w:szCs w:val="28"/>
          <w:lang w:eastAsia="en-US"/>
        </w:rPr>
        <w:t>40 мм.</w:t>
      </w:r>
    </w:p>
    <w:p w:rsidR="005108D7" w:rsidRDefault="005108D7">
      <w:pPr>
        <w:ind w:firstLineChars="200" w:firstLine="440"/>
        <w:rPr>
          <w:sz w:val="22"/>
          <w:szCs w:val="22"/>
          <w:lang w:eastAsia="en-US"/>
        </w:rPr>
      </w:pPr>
    </w:p>
    <w:p w:rsidR="005108D7" w:rsidRDefault="003D3757" w:rsidP="00224A64">
      <w:pPr>
        <w:ind w:firstLineChars="200" w:firstLine="562"/>
        <w:jc w:val="center"/>
        <w:rPr>
          <w:b/>
          <w:bCs/>
          <w:szCs w:val="28"/>
          <w:lang w:eastAsia="en-US"/>
        </w:rPr>
      </w:pPr>
      <w:r>
        <w:rPr>
          <w:b/>
          <w:bCs/>
          <w:szCs w:val="28"/>
          <w:lang w:eastAsia="en-US"/>
        </w:rPr>
        <w:t>Рисунок 1 — Размеры опоры для штанги</w:t>
      </w:r>
    </w:p>
    <w:p w:rsidR="005108D7" w:rsidRDefault="005108D7">
      <w:pPr>
        <w:rPr>
          <w:lang w:eastAsia="en-US"/>
        </w:rPr>
      </w:pP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t>5.5 Прочность и устойчивость опоры для штанги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При воздействии несимметричного удара штанги задняя часть опоры для штанги должна выдерживать нагрузки без поломок, не должна опрокидываться и непрерывно функционировать в соответствии с назначением изготовителя.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 xml:space="preserve">Протестировать в соответствии с п. </w:t>
      </w:r>
      <w:hyperlink w:anchor="bookmark16" w:history="1">
        <w:r>
          <w:rPr>
            <w:lang w:eastAsia="en-US"/>
          </w:rPr>
          <w:t>6.5</w:t>
        </w:r>
      </w:hyperlink>
      <w:r>
        <w:rPr>
          <w:lang w:eastAsia="en-US"/>
        </w:rPr>
        <w:t>.</w:t>
      </w:r>
    </w:p>
    <w:p w:rsidR="005108D7" w:rsidRDefault="005108D7">
      <w:pPr>
        <w:ind w:firstLineChars="200" w:firstLine="560"/>
        <w:rPr>
          <w:lang w:eastAsia="en-US"/>
        </w:rPr>
      </w:pP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t>5.6 Нагрузка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Для скамей классов H, S и I, внутренние и внешние нагрузки должны соответствовать ISO 20957-1:2013.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t>5.7 Опора для штанги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3D3757">
      <w:pPr>
        <w:ind w:firstLineChars="200" w:firstLine="560"/>
        <w:rPr>
          <w:lang w:eastAsia="en-US"/>
        </w:rPr>
      </w:pPr>
      <w:bookmarkStart w:id="4" w:name="bookmark6"/>
      <w:r>
        <w:rPr>
          <w:lang w:eastAsia="en-US"/>
        </w:rPr>
        <w:t>Любая часть оборудования, предназначенная для веса без опоры, должна быть легкодоступна для</w:t>
      </w:r>
      <w:r>
        <w:rPr>
          <w:lang w:eastAsia="en-US"/>
        </w:rPr>
        <w:t xml:space="preserve"> пользователя, когда он забирает или возвращает штангу.</w:t>
      </w:r>
    </w:p>
    <w:bookmarkEnd w:id="4"/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 xml:space="preserve">Протестировать в соответствии с п. </w:t>
      </w:r>
      <w:hyperlink w:anchor="bookmark10" w:history="1">
        <w:r>
          <w:rPr>
            <w:lang w:eastAsia="en-US"/>
          </w:rPr>
          <w:t>6.1.3</w:t>
        </w:r>
      </w:hyperlink>
      <w:r>
        <w:rPr>
          <w:lang w:eastAsia="en-US"/>
        </w:rPr>
        <w:t>.</w:t>
      </w:r>
    </w:p>
    <w:p w:rsidR="005108D7" w:rsidRDefault="005108D7">
      <w:pPr>
        <w:ind w:firstLineChars="200" w:firstLine="560"/>
        <w:rPr>
          <w:lang w:eastAsia="en-US"/>
        </w:rPr>
      </w:pPr>
      <w:bookmarkStart w:id="5" w:name="bookmark7"/>
    </w:p>
    <w:p w:rsidR="005108D7" w:rsidRDefault="005108D7">
      <w:pPr>
        <w:ind w:firstLineChars="200" w:firstLine="560"/>
        <w:rPr>
          <w:lang w:eastAsia="en-US"/>
        </w:rPr>
      </w:pP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lastRenderedPageBreak/>
        <w:t>6</w:t>
      </w:r>
      <w:bookmarkEnd w:id="5"/>
      <w:r>
        <w:rPr>
          <w:b/>
          <w:bCs/>
          <w:lang w:eastAsia="en-US"/>
        </w:rPr>
        <w:t xml:space="preserve"> Методы испытаний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t>6.1 Общие положения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bookmarkStart w:id="6" w:name="bookmark8"/>
      <w:r>
        <w:rPr>
          <w:b/>
          <w:bCs/>
          <w:lang w:eastAsia="en-US"/>
        </w:rPr>
        <w:t>6</w:t>
      </w:r>
      <w:bookmarkEnd w:id="6"/>
      <w:r>
        <w:rPr>
          <w:b/>
          <w:bCs/>
          <w:lang w:eastAsia="en-US"/>
        </w:rPr>
        <w:t>.1.1 Контроль размеров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Измерения проводятся при помощи соответствующих измерительных</w:t>
      </w:r>
      <w:r>
        <w:rPr>
          <w:lang w:eastAsia="en-US"/>
        </w:rPr>
        <w:t xml:space="preserve"> приборов.</w:t>
      </w: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bookmarkStart w:id="7" w:name="bookmark9"/>
      <w:r>
        <w:rPr>
          <w:b/>
          <w:bCs/>
          <w:lang w:eastAsia="en-US"/>
        </w:rPr>
        <w:t>6</w:t>
      </w:r>
      <w:bookmarkEnd w:id="7"/>
      <w:r>
        <w:rPr>
          <w:b/>
          <w:bCs/>
          <w:lang w:eastAsia="en-US"/>
        </w:rPr>
        <w:t>.1.2 Визуальный осмотр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Визуальный осмотр проводится при надлежащем освещении.</w:t>
      </w: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bookmarkStart w:id="8" w:name="bookmark10"/>
      <w:r>
        <w:rPr>
          <w:b/>
          <w:bCs/>
          <w:lang w:eastAsia="en-US"/>
        </w:rPr>
        <w:t>6</w:t>
      </w:r>
      <w:bookmarkEnd w:id="8"/>
      <w:r>
        <w:rPr>
          <w:b/>
          <w:bCs/>
          <w:lang w:eastAsia="en-US"/>
        </w:rPr>
        <w:t>.1.3 Испытание эксплуатационных параметров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Тестируемые механизмы должны приводиться в действие в соответствии со своим назначением, определенным изготовителем.</w:t>
      </w:r>
    </w:p>
    <w:p w:rsidR="005108D7" w:rsidRDefault="005108D7">
      <w:pPr>
        <w:ind w:firstLineChars="200" w:firstLine="560"/>
        <w:rPr>
          <w:lang w:eastAsia="en-US"/>
        </w:rPr>
      </w:pPr>
      <w:bookmarkStart w:id="9" w:name="bookmark11"/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t>6</w:t>
      </w:r>
      <w:bookmarkEnd w:id="9"/>
      <w:r>
        <w:rPr>
          <w:b/>
          <w:bCs/>
          <w:lang w:eastAsia="en-US"/>
        </w:rPr>
        <w:t xml:space="preserve">.2 </w:t>
      </w:r>
      <w:r>
        <w:rPr>
          <w:b/>
          <w:bCs/>
          <w:lang w:eastAsia="en-US"/>
        </w:rPr>
        <w:t>Испытание вращательной устойчивости штанги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По центру опоры для штанги помещается сплошная стальная перекладина длиной (1600 ± 50) мм и диаметром (27,5 ± 1) мм. Если скамья предназначена для использования со стальным грифом олимпийского размера, используют</w:t>
      </w:r>
      <w:r>
        <w:rPr>
          <w:lang w:eastAsia="en-US"/>
        </w:rPr>
        <w:t xml:space="preserve"> гриф размером (2 200 ± 50) мм вместо (1 600 ± 50) мм.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Затем один блин весом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а) 10 кг для класса Н</w:t>
      </w:r>
      <w:r w:rsidR="00224A64">
        <w:rPr>
          <w:lang w:eastAsia="en-US"/>
        </w:rPr>
        <w:t>,</w:t>
      </w:r>
      <w:r>
        <w:rPr>
          <w:lang w:eastAsia="en-US"/>
        </w:rPr>
        <w:t xml:space="preserve"> и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b) 20 кг для класса S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 xml:space="preserve">помещают с одной стороны стального грифа так, чтобы средняя плоскость блина располагалась в соответствии с </w:t>
      </w:r>
      <w:hyperlink w:anchor="bookmark12" w:history="1">
        <w:r>
          <w:rPr>
            <w:lang w:eastAsia="en-US"/>
          </w:rPr>
          <w:t>рисунком 2</w:t>
        </w:r>
      </w:hyperlink>
      <w:r>
        <w:rPr>
          <w:lang w:eastAsia="en-US"/>
        </w:rPr>
        <w:t>.</w:t>
      </w:r>
    </w:p>
    <w:p w:rsidR="005108D7" w:rsidRDefault="005108D7">
      <w:pPr>
        <w:rPr>
          <w:lang w:eastAsia="en-US"/>
        </w:rPr>
      </w:pPr>
    </w:p>
    <w:p w:rsidR="005108D7" w:rsidRDefault="003D3757">
      <w:pPr>
        <w:ind w:firstLineChars="200" w:firstLine="400"/>
        <w:jc w:val="right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Размеры в миллиметрах</w:t>
      </w:r>
    </w:p>
    <w:p w:rsidR="005108D7" w:rsidRDefault="003D3757">
      <w:pPr>
        <w:ind w:firstLineChars="200" w:firstLine="560"/>
        <w:jc w:val="center"/>
      </w:pPr>
      <w:r>
        <w:rPr>
          <w:noProof/>
        </w:rPr>
        <w:drawing>
          <wp:inline distT="0" distB="0" distL="0" distR="0" wp14:anchorId="1A5837F6" wp14:editId="45678EB1">
            <wp:extent cx="3042920" cy="2640965"/>
            <wp:effectExtent l="0" t="0" r="508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5072" cy="2642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8D7" w:rsidRDefault="005108D7">
      <w:pPr>
        <w:ind w:firstLineChars="200" w:firstLine="560"/>
        <w:rPr>
          <w:lang w:eastAsia="en-US"/>
        </w:rPr>
      </w:pPr>
      <w:bookmarkStart w:id="10" w:name="bookmark12"/>
    </w:p>
    <w:bookmarkEnd w:id="10"/>
    <w:p w:rsidR="005108D7" w:rsidRDefault="003D3757" w:rsidP="00224A64">
      <w:pPr>
        <w:ind w:firstLineChars="200" w:firstLine="562"/>
        <w:jc w:val="center"/>
        <w:rPr>
          <w:b/>
          <w:bCs/>
          <w:szCs w:val="28"/>
          <w:lang w:eastAsia="en-US"/>
        </w:rPr>
      </w:pPr>
      <w:r>
        <w:rPr>
          <w:b/>
          <w:bCs/>
          <w:szCs w:val="28"/>
          <w:lang w:eastAsia="en-US"/>
        </w:rPr>
        <w:t>Рисунок 2 — Испытание на устойчивость при неравномерной нагрузке</w:t>
      </w:r>
    </w:p>
    <w:p w:rsidR="005108D7" w:rsidRDefault="005108D7">
      <w:pPr>
        <w:ind w:firstLineChars="200" w:firstLine="560"/>
        <w:rPr>
          <w:lang w:eastAsia="en-US"/>
        </w:rPr>
      </w:pPr>
      <w:bookmarkStart w:id="11" w:name="bookmark13"/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lastRenderedPageBreak/>
        <w:t>6</w:t>
      </w:r>
      <w:bookmarkStart w:id="12" w:name="bookmark14"/>
      <w:bookmarkEnd w:id="11"/>
      <w:r>
        <w:rPr>
          <w:b/>
          <w:bCs/>
          <w:lang w:eastAsia="en-US"/>
        </w:rPr>
        <w:t>.</w:t>
      </w:r>
      <w:bookmarkEnd w:id="12"/>
      <w:r>
        <w:rPr>
          <w:b/>
          <w:bCs/>
          <w:lang w:eastAsia="en-US"/>
        </w:rPr>
        <w:t>3 Испытание вращательной устойчивости скамьи с фиксированными опорами для штанги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 xml:space="preserve">Протестировать в соответствии с п. </w:t>
      </w:r>
      <w:hyperlink w:anchor="bookmark11" w:history="1">
        <w:r>
          <w:rPr>
            <w:lang w:eastAsia="en-US"/>
          </w:rPr>
          <w:t>6.2</w:t>
        </w:r>
      </w:hyperlink>
      <w:r>
        <w:rPr>
          <w:lang w:eastAsia="en-US"/>
        </w:rPr>
        <w:t>, но с зафиксированной штангой и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a) применением половины максимальной тренировочной нагрузки, указанной изготовителем, или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b) применением веса 40 кг для класса H и 50 кг для классов S и I, в зависимости от того, который из них больше.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  <w:bookmarkStart w:id="13" w:name="bookmark15"/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t>6</w:t>
      </w:r>
      <w:bookmarkEnd w:id="13"/>
      <w:r>
        <w:rPr>
          <w:b/>
          <w:bCs/>
          <w:lang w:eastAsia="en-US"/>
        </w:rPr>
        <w:t xml:space="preserve">.4 Испытание </w:t>
      </w:r>
      <w:r>
        <w:rPr>
          <w:b/>
          <w:bCs/>
          <w:lang w:eastAsia="en-US"/>
        </w:rPr>
        <w:t>устойчивости в продольном направлении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 xml:space="preserve">Скамья </w:t>
      </w:r>
      <w:r w:rsidR="00224A64">
        <w:rPr>
          <w:lang w:eastAsia="en-US"/>
        </w:rPr>
        <w:t xml:space="preserve">располагается </w:t>
      </w:r>
      <w:r>
        <w:rPr>
          <w:lang w:eastAsia="en-US"/>
        </w:rPr>
        <w:t>с наклоном (10+1)°, при этом она должна быть ориентирована</w:t>
      </w:r>
      <w:r>
        <w:rPr>
          <w:lang w:eastAsia="en-US"/>
        </w:rPr>
        <w:t xml:space="preserve">, чтобы опора для штанги находилась в нижней части наклона, а опора для штанги </w:t>
      </w:r>
      <w:r w:rsidR="00224A64">
        <w:rPr>
          <w:lang w:eastAsia="en-US"/>
        </w:rPr>
        <w:t>устанавливается</w:t>
      </w:r>
      <w:r>
        <w:rPr>
          <w:lang w:eastAsia="en-US"/>
        </w:rPr>
        <w:t xml:space="preserve"> в самое вер</w:t>
      </w:r>
      <w:r>
        <w:rPr>
          <w:lang w:eastAsia="en-US"/>
        </w:rPr>
        <w:t>хнее положение (</w:t>
      </w:r>
      <w:hyperlink w:anchor="bookmark17" w:history="1">
        <w:r>
          <w:rPr>
            <w:lang w:eastAsia="en-US"/>
          </w:rPr>
          <w:t>рисунок 3</w:t>
        </w:r>
      </w:hyperlink>
      <w:r>
        <w:rPr>
          <w:lang w:eastAsia="en-US"/>
        </w:rPr>
        <w:t>). Штанга, нагруженная в соответствии с максимальной нагрузкой, указанной изготовителем, или весом 50 кг, в зависимости от того, что больше, помещается на опоры для штанги.</w:t>
      </w:r>
    </w:p>
    <w:p w:rsidR="005108D7" w:rsidRDefault="005108D7">
      <w:pPr>
        <w:ind w:firstLineChars="200" w:firstLine="560"/>
      </w:pPr>
    </w:p>
    <w:p w:rsidR="005108D7" w:rsidRDefault="003D3757">
      <w:pPr>
        <w:ind w:firstLineChars="200" w:firstLine="560"/>
      </w:pPr>
      <w:r>
        <w:rPr>
          <w:noProof/>
        </w:rPr>
        <w:drawing>
          <wp:inline distT="0" distB="0" distL="0" distR="0" wp14:anchorId="30D9EA3A" wp14:editId="32FB8950">
            <wp:extent cx="4524375" cy="1909445"/>
            <wp:effectExtent l="0" t="0" r="9525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90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8D7" w:rsidRDefault="005108D7">
      <w:pPr>
        <w:ind w:firstLineChars="200" w:firstLine="440"/>
        <w:jc w:val="center"/>
        <w:rPr>
          <w:sz w:val="22"/>
          <w:szCs w:val="22"/>
        </w:rPr>
      </w:pPr>
    </w:p>
    <w:p w:rsidR="005108D7" w:rsidRDefault="003D3757" w:rsidP="00224A64">
      <w:pPr>
        <w:ind w:firstLineChars="200" w:firstLine="562"/>
        <w:jc w:val="center"/>
        <w:rPr>
          <w:b/>
          <w:bCs/>
          <w:szCs w:val="28"/>
          <w:lang w:eastAsia="en-US"/>
        </w:rPr>
      </w:pPr>
      <w:r>
        <w:rPr>
          <w:b/>
          <w:bCs/>
          <w:szCs w:val="28"/>
          <w:lang w:eastAsia="en-US"/>
        </w:rPr>
        <w:t>Рисунок 3 — Испытани</w:t>
      </w:r>
      <w:r>
        <w:rPr>
          <w:b/>
          <w:bCs/>
          <w:szCs w:val="28"/>
          <w:lang w:eastAsia="en-US"/>
        </w:rPr>
        <w:t>е на устойчивость в продольном направлении</w:t>
      </w:r>
    </w:p>
    <w:p w:rsidR="005108D7" w:rsidRDefault="005108D7">
      <w:pPr>
        <w:ind w:firstLineChars="200" w:firstLine="560"/>
        <w:rPr>
          <w:lang w:eastAsia="en-US"/>
        </w:rPr>
      </w:pPr>
    </w:p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t>6.5 Испытание прочности и устойчивости опоры для штанги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224A64">
      <w:pPr>
        <w:ind w:firstLineChars="200" w:firstLine="560"/>
        <w:rPr>
          <w:lang w:eastAsia="en-US"/>
        </w:rPr>
      </w:pPr>
      <w:r>
        <w:rPr>
          <w:lang w:eastAsia="en-US"/>
        </w:rPr>
        <w:t>Сооружается</w:t>
      </w:r>
      <w:r w:rsidR="003D3757">
        <w:rPr>
          <w:lang w:eastAsia="en-US"/>
        </w:rPr>
        <w:t xml:space="preserve"> испытательное устройство в виде перевернутого маятника длиной (850 ± 5) мм, котор</w:t>
      </w:r>
      <w:r>
        <w:rPr>
          <w:lang w:eastAsia="en-US"/>
        </w:rPr>
        <w:t>ый</w:t>
      </w:r>
      <w:r w:rsidR="003D3757">
        <w:rPr>
          <w:lang w:eastAsia="en-US"/>
        </w:rPr>
        <w:t xml:space="preserve"> поддерживает штангу</w:t>
      </w:r>
      <w:r>
        <w:rPr>
          <w:lang w:eastAsia="en-US"/>
        </w:rPr>
        <w:t xml:space="preserve"> над скамейкой или сиденьем, и </w:t>
      </w:r>
      <w:r w:rsidR="003D3757">
        <w:rPr>
          <w:lang w:eastAsia="en-US"/>
        </w:rPr>
        <w:t>конструир</w:t>
      </w:r>
      <w:r>
        <w:rPr>
          <w:lang w:eastAsia="en-US"/>
        </w:rPr>
        <w:t>уется и настраивается</w:t>
      </w:r>
      <w:r w:rsidR="003D3757">
        <w:rPr>
          <w:lang w:eastAsia="en-US"/>
        </w:rPr>
        <w:t>, чтобы при отпускании груз поворачивался назад и ударялся только с одной</w:t>
      </w:r>
      <w:r w:rsidR="003D3757">
        <w:rPr>
          <w:lang w:eastAsia="en-US"/>
        </w:rPr>
        <w:t xml:space="preserve"> стороны опоры для штанги за один раз в точке на (40 ± 5) мм вниз от самого верхнего конца опоры для штанги с расстояния (300 ± 5) мм. Если скамья прикреплена к опорам для штанги, вес, равный максимальному весу тела, </w:t>
      </w:r>
      <w:r>
        <w:rPr>
          <w:lang w:eastAsia="en-US"/>
        </w:rPr>
        <w:t xml:space="preserve">то </w:t>
      </w:r>
      <w:r w:rsidR="003D3757">
        <w:rPr>
          <w:lang w:eastAsia="en-US"/>
        </w:rPr>
        <w:t>указанному изготовителем, должен быть р</w:t>
      </w:r>
      <w:r w:rsidR="003D3757">
        <w:rPr>
          <w:lang w:eastAsia="en-US"/>
        </w:rPr>
        <w:t>авномерно распределен по скамье (</w:t>
      </w:r>
      <w:hyperlink w:anchor="bookmark19" w:history="1">
        <w:r w:rsidR="003D3757">
          <w:rPr>
            <w:lang w:eastAsia="en-US"/>
          </w:rPr>
          <w:t>рисунок 4</w:t>
        </w:r>
      </w:hyperlink>
      <w:r w:rsidR="003D3757">
        <w:rPr>
          <w:lang w:eastAsia="en-US"/>
        </w:rPr>
        <w:t>).</w:t>
      </w:r>
    </w:p>
    <w:p w:rsidR="00224A64" w:rsidRDefault="00224A64">
      <w:pPr>
        <w:ind w:firstLineChars="200" w:firstLine="560"/>
        <w:rPr>
          <w:lang w:eastAsia="en-US"/>
        </w:rPr>
      </w:pPr>
    </w:p>
    <w:p w:rsidR="005108D7" w:rsidRDefault="00224A64">
      <w:pPr>
        <w:ind w:firstLineChars="200" w:firstLine="560"/>
        <w:rPr>
          <w:lang w:eastAsia="en-US"/>
        </w:rPr>
      </w:pPr>
      <w:r>
        <w:rPr>
          <w:lang w:eastAsia="en-US"/>
        </w:rPr>
        <w:lastRenderedPageBreak/>
        <w:t>Необходимо н</w:t>
      </w:r>
      <w:r w:rsidR="003D3757">
        <w:rPr>
          <w:lang w:eastAsia="en-US"/>
        </w:rPr>
        <w:t>агрузит</w:t>
      </w:r>
      <w:r>
        <w:rPr>
          <w:lang w:eastAsia="en-US"/>
        </w:rPr>
        <w:t>ь</w:t>
      </w:r>
      <w:r w:rsidR="003D3757">
        <w:rPr>
          <w:lang w:eastAsia="en-US"/>
        </w:rPr>
        <w:t xml:space="preserve"> штангу</w:t>
      </w:r>
      <w:r>
        <w:rPr>
          <w:lang w:eastAsia="en-US"/>
        </w:rPr>
        <w:t>:</w:t>
      </w:r>
      <w:r w:rsidR="003D3757">
        <w:rPr>
          <w:lang w:eastAsia="en-US"/>
        </w:rPr>
        <w:t xml:space="preserve"> 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а) весом в половину максимальной тренировочной нагрузки, указанной изготовителем, или</w:t>
      </w: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>b) весом 40 кг для класса Н и 50 кг для классов S и I, в зависимости от т</w:t>
      </w:r>
      <w:r>
        <w:rPr>
          <w:lang w:eastAsia="en-US"/>
        </w:rPr>
        <w:t>ого, который из них больше.</w:t>
      </w:r>
    </w:p>
    <w:p w:rsidR="005108D7" w:rsidRDefault="005108D7">
      <w:pPr>
        <w:ind w:firstLineChars="200" w:firstLine="560"/>
        <w:rPr>
          <w:lang w:eastAsia="en-US"/>
        </w:rPr>
      </w:pPr>
    </w:p>
    <w:p w:rsidR="005108D7" w:rsidRDefault="00224A64">
      <w:pPr>
        <w:ind w:firstLineChars="200" w:firstLine="480"/>
        <w:rPr>
          <w:sz w:val="24"/>
          <w:lang w:eastAsia="en-US"/>
        </w:rPr>
      </w:pPr>
      <w:r>
        <w:rPr>
          <w:sz w:val="24"/>
          <w:lang w:eastAsia="en-US"/>
        </w:rPr>
        <w:t xml:space="preserve">Примечание - </w:t>
      </w:r>
      <w:r w:rsidR="003D3757">
        <w:rPr>
          <w:sz w:val="24"/>
          <w:lang w:eastAsia="en-US"/>
        </w:rPr>
        <w:t>Общая высота испытательного устройства может изменяться для определения места удара и сохранения длины маятника.</w:t>
      </w:r>
    </w:p>
    <w:p w:rsidR="005108D7" w:rsidRDefault="005108D7">
      <w:pPr>
        <w:ind w:firstLineChars="200" w:firstLine="560"/>
        <w:rPr>
          <w:lang w:eastAsia="en-US"/>
        </w:rPr>
      </w:pPr>
    </w:p>
    <w:p w:rsidR="005108D7" w:rsidRDefault="003D3757">
      <w:pPr>
        <w:ind w:firstLineChars="200" w:firstLine="560"/>
        <w:rPr>
          <w:lang w:eastAsia="en-US"/>
        </w:rPr>
      </w:pPr>
      <w:r>
        <w:rPr>
          <w:lang w:eastAsia="en-US"/>
        </w:rPr>
        <w:t xml:space="preserve">Во время испытания тренировочная скамья не </w:t>
      </w:r>
      <w:r>
        <w:rPr>
          <w:lang w:eastAsia="en-US"/>
        </w:rPr>
        <w:t>приж</w:t>
      </w:r>
      <w:r w:rsidR="00224A64">
        <w:rPr>
          <w:lang w:eastAsia="en-US"/>
        </w:rPr>
        <w:t>имается</w:t>
      </w:r>
      <w:r>
        <w:rPr>
          <w:lang w:eastAsia="en-US"/>
        </w:rPr>
        <w:t xml:space="preserve"> к поверхности, а стопор </w:t>
      </w:r>
      <w:r w:rsidR="00224A64">
        <w:rPr>
          <w:lang w:eastAsia="en-US"/>
        </w:rPr>
        <w:t xml:space="preserve">устанавливается </w:t>
      </w:r>
      <w:r>
        <w:rPr>
          <w:lang w:eastAsia="en-US"/>
        </w:rPr>
        <w:t>напротив ножек, чтобы предотвратить скольжение. Процедуру испытания повторяют 10 раз для каждой стороны.</w:t>
      </w:r>
    </w:p>
    <w:p w:rsidR="005108D7" w:rsidRDefault="005108D7">
      <w:pPr>
        <w:ind w:firstLineChars="200" w:firstLine="560"/>
        <w:rPr>
          <w:lang w:eastAsia="en-US"/>
        </w:rPr>
      </w:pPr>
      <w:bookmarkStart w:id="14" w:name="bookmark18"/>
    </w:p>
    <w:bookmarkEnd w:id="14"/>
    <w:p w:rsidR="005108D7" w:rsidRDefault="003D3757">
      <w:pPr>
        <w:ind w:firstLineChars="200" w:firstLine="400"/>
        <w:jc w:val="right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Размеры в миллиметрах</w:t>
      </w:r>
    </w:p>
    <w:p w:rsidR="005108D7" w:rsidRDefault="003D3757">
      <w:pPr>
        <w:ind w:firstLineChars="200" w:firstLine="560"/>
        <w:jc w:val="center"/>
        <w:rPr>
          <w:sz w:val="22"/>
          <w:szCs w:val="22"/>
          <w:lang w:eastAsia="en-US"/>
        </w:rPr>
      </w:pPr>
      <w:r>
        <w:rPr>
          <w:noProof/>
        </w:rPr>
        <w:drawing>
          <wp:inline distT="0" distB="0" distL="0" distR="0" wp14:anchorId="76CF9E85" wp14:editId="16015A11">
            <wp:extent cx="5196840" cy="3096895"/>
            <wp:effectExtent l="0" t="0" r="10160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96840" cy="309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8D7" w:rsidRDefault="003D3757" w:rsidP="00224A64">
      <w:pPr>
        <w:ind w:firstLineChars="200" w:firstLine="562"/>
        <w:rPr>
          <w:b/>
          <w:bCs/>
          <w:szCs w:val="28"/>
          <w:lang w:eastAsia="en-US"/>
        </w:rPr>
      </w:pPr>
      <w:r>
        <w:rPr>
          <w:b/>
          <w:bCs/>
          <w:szCs w:val="28"/>
          <w:lang w:eastAsia="en-US"/>
        </w:rPr>
        <w:t>Условные обозначения</w:t>
      </w:r>
    </w:p>
    <w:p w:rsidR="005108D7" w:rsidRDefault="003D3757">
      <w:pPr>
        <w:ind w:firstLineChars="200" w:firstLine="560"/>
        <w:rPr>
          <w:szCs w:val="28"/>
          <w:lang w:eastAsia="en-US"/>
        </w:rPr>
      </w:pPr>
      <w:r>
        <w:rPr>
          <w:szCs w:val="28"/>
          <w:lang w:eastAsia="en-US"/>
        </w:rPr>
        <w:t xml:space="preserve">1 поверхность </w:t>
      </w:r>
    </w:p>
    <w:p w:rsidR="005108D7" w:rsidRDefault="003D3757">
      <w:pPr>
        <w:ind w:firstLineChars="200" w:firstLine="560"/>
        <w:rPr>
          <w:szCs w:val="28"/>
          <w:lang w:eastAsia="en-US"/>
        </w:rPr>
      </w:pPr>
      <w:r>
        <w:rPr>
          <w:szCs w:val="28"/>
          <w:lang w:eastAsia="en-US"/>
        </w:rPr>
        <w:t>2 стопор</w:t>
      </w:r>
    </w:p>
    <w:p w:rsidR="005108D7" w:rsidRDefault="003D3757">
      <w:pPr>
        <w:ind w:firstLineChars="200" w:firstLine="560"/>
        <w:rPr>
          <w:szCs w:val="28"/>
          <w:lang w:eastAsia="en-US"/>
        </w:rPr>
      </w:pPr>
      <w:r>
        <w:rPr>
          <w:szCs w:val="28"/>
          <w:lang w:eastAsia="en-US"/>
        </w:rPr>
        <w:t>3 точка удара</w:t>
      </w:r>
    </w:p>
    <w:p w:rsidR="005108D7" w:rsidRDefault="003D3757">
      <w:pPr>
        <w:ind w:firstLineChars="200" w:firstLine="560"/>
        <w:rPr>
          <w:szCs w:val="28"/>
          <w:lang w:eastAsia="en-US"/>
        </w:rPr>
      </w:pPr>
      <w:r>
        <w:rPr>
          <w:szCs w:val="28"/>
          <w:lang w:eastAsia="en-US"/>
        </w:rPr>
        <w:t>h</w:t>
      </w:r>
      <w:r w:rsidRPr="00224A64">
        <w:rPr>
          <w:szCs w:val="28"/>
          <w:vertAlign w:val="subscript"/>
          <w:lang w:eastAsia="en-US"/>
        </w:rPr>
        <w:t>max</w:t>
      </w:r>
      <w:r>
        <w:rPr>
          <w:szCs w:val="28"/>
          <w:lang w:eastAsia="en-US"/>
        </w:rPr>
        <w:t xml:space="preserve"> максимальная высота</w:t>
      </w:r>
    </w:p>
    <w:p w:rsidR="005108D7" w:rsidRDefault="003D3757">
      <w:pPr>
        <w:ind w:firstLineChars="200" w:firstLine="560"/>
        <w:rPr>
          <w:szCs w:val="28"/>
          <w:lang w:eastAsia="en-US"/>
        </w:rPr>
      </w:pPr>
      <w:r>
        <w:rPr>
          <w:szCs w:val="28"/>
          <w:lang w:eastAsia="en-US"/>
        </w:rPr>
        <w:t>a Первоначальное положение нагр</w:t>
      </w:r>
      <w:r>
        <w:rPr>
          <w:szCs w:val="28"/>
          <w:lang w:eastAsia="en-US"/>
        </w:rPr>
        <w:t>уженного перевернутого маятника.</w:t>
      </w:r>
    </w:p>
    <w:p w:rsidR="005108D7" w:rsidRDefault="003D3757">
      <w:pPr>
        <w:ind w:firstLineChars="200" w:firstLine="560"/>
        <w:rPr>
          <w:szCs w:val="28"/>
          <w:lang w:eastAsia="en-US"/>
        </w:rPr>
      </w:pPr>
      <w:r>
        <w:rPr>
          <w:szCs w:val="28"/>
          <w:lang w:eastAsia="en-US"/>
        </w:rPr>
        <w:t>b Регулируемая высота для размещения испытательного устройства на испытываемую скамью.</w:t>
      </w:r>
    </w:p>
    <w:p w:rsidR="005108D7" w:rsidRDefault="003D3757">
      <w:pPr>
        <w:ind w:firstLineChars="200" w:firstLine="560"/>
        <w:rPr>
          <w:szCs w:val="28"/>
          <w:lang w:eastAsia="en-US"/>
        </w:rPr>
      </w:pPr>
      <w:r>
        <w:rPr>
          <w:szCs w:val="28"/>
          <w:lang w:eastAsia="en-US"/>
        </w:rPr>
        <w:t>c Максимальный вес тела, указанный изготовителем, равномерно распределенный по скамье.</w:t>
      </w:r>
    </w:p>
    <w:p w:rsidR="005108D7" w:rsidRDefault="003D3757">
      <w:pPr>
        <w:ind w:firstLineChars="200" w:firstLine="560"/>
        <w:rPr>
          <w:szCs w:val="28"/>
          <w:lang w:eastAsia="en-US"/>
        </w:rPr>
      </w:pPr>
      <w:r>
        <w:rPr>
          <w:szCs w:val="28"/>
          <w:lang w:eastAsia="en-US"/>
        </w:rPr>
        <w:t>d Для упрощения штанга не показана.</w:t>
      </w:r>
    </w:p>
    <w:p w:rsidR="005108D7" w:rsidRDefault="005108D7">
      <w:pPr>
        <w:ind w:firstLineChars="200" w:firstLine="440"/>
        <w:rPr>
          <w:sz w:val="22"/>
          <w:szCs w:val="22"/>
          <w:lang w:eastAsia="en-US"/>
        </w:rPr>
      </w:pPr>
    </w:p>
    <w:p w:rsidR="005108D7" w:rsidRDefault="003D3757" w:rsidP="00224A64">
      <w:pPr>
        <w:ind w:firstLineChars="200" w:firstLine="562"/>
        <w:jc w:val="center"/>
        <w:rPr>
          <w:b/>
          <w:bCs/>
          <w:szCs w:val="28"/>
          <w:lang w:eastAsia="en-US"/>
        </w:rPr>
      </w:pPr>
      <w:bookmarkStart w:id="15" w:name="bookmark19"/>
      <w:r>
        <w:rPr>
          <w:b/>
          <w:bCs/>
          <w:szCs w:val="28"/>
          <w:lang w:eastAsia="en-US"/>
        </w:rPr>
        <w:t xml:space="preserve">Рисунок 4 — </w:t>
      </w:r>
      <w:r>
        <w:rPr>
          <w:b/>
          <w:bCs/>
          <w:szCs w:val="28"/>
          <w:lang w:eastAsia="en-US"/>
        </w:rPr>
        <w:t>Испытание опоры для штанги под нагрузкой</w:t>
      </w:r>
    </w:p>
    <w:bookmarkEnd w:id="15"/>
    <w:p w:rsidR="005108D7" w:rsidRDefault="003D3757" w:rsidP="00224A64">
      <w:pPr>
        <w:ind w:firstLineChars="200" w:firstLine="562"/>
        <w:rPr>
          <w:b/>
          <w:bCs/>
          <w:lang w:eastAsia="en-US"/>
        </w:rPr>
      </w:pPr>
      <w:r>
        <w:rPr>
          <w:b/>
          <w:bCs/>
          <w:lang w:eastAsia="en-US"/>
        </w:rPr>
        <w:lastRenderedPageBreak/>
        <w:t>7 Протокол испытаний</w:t>
      </w:r>
    </w:p>
    <w:p w:rsidR="005108D7" w:rsidRDefault="005108D7" w:rsidP="00224A64">
      <w:pPr>
        <w:ind w:firstLineChars="200" w:firstLine="562"/>
        <w:rPr>
          <w:b/>
          <w:bCs/>
          <w:lang w:eastAsia="en-US"/>
        </w:rPr>
      </w:pPr>
    </w:p>
    <w:p w:rsidR="005108D7" w:rsidRDefault="003D3757">
      <w:pPr>
        <w:ind w:firstLineChars="200" w:firstLine="560"/>
        <w:rPr>
          <w:b/>
          <w:bCs/>
          <w:lang w:eastAsia="en-US"/>
        </w:rPr>
      </w:pPr>
      <w:r>
        <w:rPr>
          <w:lang w:eastAsia="en-US"/>
        </w:rPr>
        <w:t xml:space="preserve">Протокол испытаний </w:t>
      </w:r>
      <w:r>
        <w:rPr>
          <w:lang w:eastAsia="en-US"/>
        </w:rPr>
        <w:t>включа</w:t>
      </w:r>
      <w:r w:rsidR="00224A64">
        <w:rPr>
          <w:lang w:eastAsia="en-US"/>
        </w:rPr>
        <w:t xml:space="preserve">ет, </w:t>
      </w:r>
      <w:r>
        <w:rPr>
          <w:lang w:eastAsia="en-US"/>
        </w:rPr>
        <w:t xml:space="preserve">как минимум, информацию в соответствии с ISO 20957-1:2013 и ссылку на </w:t>
      </w:r>
      <w:r w:rsidR="00224A64">
        <w:rPr>
          <w:lang w:eastAsia="en-US"/>
        </w:rPr>
        <w:t>данный стандарт</w:t>
      </w:r>
      <w:r>
        <w:rPr>
          <w:lang w:eastAsia="en-US"/>
        </w:rPr>
        <w:t xml:space="preserve">, т.е. </w:t>
      </w:r>
      <w:r w:rsidR="00224A64">
        <w:rPr>
          <w:lang w:eastAsia="en-US"/>
        </w:rPr>
        <w:t xml:space="preserve">                     ISO 20957-4:2016</w:t>
      </w:r>
      <w:r>
        <w:rPr>
          <w:lang w:eastAsia="en-US"/>
        </w:rPr>
        <w:t xml:space="preserve"> и ISO 20957-1:2013.</w:t>
      </w: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3D375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</w:rPr>
      </w:pPr>
      <w:r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  <w:lastRenderedPageBreak/>
        <w:t>Приложение ДА</w:t>
      </w:r>
    </w:p>
    <w:p w:rsidR="005108D7" w:rsidRDefault="003D3757">
      <w:pPr>
        <w:shd w:val="clear" w:color="auto" w:fill="FFFFFF"/>
        <w:jc w:val="center"/>
        <w:rPr>
          <w:rFonts w:eastAsia="YS Text"/>
          <w:color w:val="000000"/>
          <w:szCs w:val="28"/>
        </w:rPr>
      </w:pPr>
      <w:r>
        <w:rPr>
          <w:rFonts w:eastAsia="YS Text"/>
          <w:color w:val="000000"/>
          <w:szCs w:val="28"/>
          <w:shd w:val="clear" w:color="auto" w:fill="FFFFFF"/>
          <w:lang w:eastAsia="zh-CN" w:bidi="ar"/>
        </w:rPr>
        <w:t>(справочное)</w:t>
      </w:r>
    </w:p>
    <w:p w:rsidR="005108D7" w:rsidRDefault="003D375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  <w:r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  <w:t>Сведения о соответствии государственных стандартов ссылочным европейским стандартам</w:t>
      </w:r>
    </w:p>
    <w:p w:rsidR="005108D7" w:rsidRDefault="005108D7">
      <w:pPr>
        <w:shd w:val="clear" w:color="auto" w:fill="FFFFFF"/>
        <w:jc w:val="center"/>
        <w:rPr>
          <w:rFonts w:eastAsia="YS Text"/>
          <w:b/>
          <w:bCs/>
          <w:color w:val="000000"/>
          <w:szCs w:val="28"/>
          <w:shd w:val="clear" w:color="auto" w:fill="FFFFFF"/>
          <w:lang w:eastAsia="zh-CN" w:bidi="ar"/>
        </w:rPr>
      </w:pPr>
    </w:p>
    <w:p w:rsidR="005108D7" w:rsidRDefault="003D3757">
      <w:pPr>
        <w:shd w:val="clear" w:color="auto" w:fill="FFFFFF"/>
        <w:tabs>
          <w:tab w:val="left" w:pos="0"/>
        </w:tabs>
        <w:rPr>
          <w:rFonts w:eastAsia="YS Text"/>
          <w:color w:val="000000"/>
          <w:szCs w:val="28"/>
          <w:shd w:val="clear" w:color="auto" w:fill="FFFFFF"/>
          <w:lang w:eastAsia="zh-CN" w:bidi="ar"/>
        </w:rPr>
      </w:pPr>
      <w:r>
        <w:rPr>
          <w:rFonts w:eastAsia="YS Text"/>
          <w:color w:val="000000"/>
          <w:szCs w:val="28"/>
          <w:shd w:val="clear" w:color="auto" w:fill="FFFFFF"/>
          <w:lang w:eastAsia="zh-CN" w:bidi="ar"/>
        </w:rPr>
        <w:t xml:space="preserve">Таблица ДА.1 - Сведения о соответствии межгосударственных стандартов ссылочным европейским, которые являются идентичными или </w:t>
      </w:r>
      <w:r>
        <w:rPr>
          <w:rFonts w:eastAsia="YS Text"/>
          <w:color w:val="000000"/>
          <w:szCs w:val="28"/>
          <w:shd w:val="clear" w:color="auto" w:fill="FFFFFF"/>
          <w:lang w:eastAsia="zh-CN" w:bidi="ar"/>
        </w:rPr>
        <w:t>модифицированными по отношению к международным стандартам (документам)</w:t>
      </w:r>
    </w:p>
    <w:tbl>
      <w:tblPr>
        <w:tblStyle w:val="aff0"/>
        <w:tblW w:w="0" w:type="auto"/>
        <w:tblLayout w:type="fixed"/>
        <w:tblLook w:val="04A0" w:firstRow="1" w:lastRow="0" w:firstColumn="1" w:lastColumn="0" w:noHBand="0" w:noVBand="1"/>
      </w:tblPr>
      <w:tblGrid>
        <w:gridCol w:w="2918"/>
        <w:gridCol w:w="2671"/>
        <w:gridCol w:w="900"/>
        <w:gridCol w:w="3081"/>
      </w:tblGrid>
      <w:tr w:rsidR="005108D7">
        <w:tc>
          <w:tcPr>
            <w:tcW w:w="2918" w:type="dxa"/>
          </w:tcPr>
          <w:p w:rsidR="005108D7" w:rsidRDefault="003D3757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</w:rPr>
            </w:pP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  <w:t>Обозначение и наименование</w:t>
            </w:r>
          </w:p>
          <w:p w:rsidR="005108D7" w:rsidRDefault="003D3757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</w:rPr>
            </w:pP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  <w:t>ссылочного европейского</w:t>
            </w:r>
          </w:p>
          <w:p w:rsidR="005108D7" w:rsidRDefault="003D3757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</w:pP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  <w:t>стандарта</w:t>
            </w:r>
          </w:p>
        </w:tc>
        <w:tc>
          <w:tcPr>
            <w:tcW w:w="2671" w:type="dxa"/>
          </w:tcPr>
          <w:p w:rsidR="005108D7" w:rsidRDefault="003D3757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</w:rPr>
            </w:pP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  <w:t>Обозначение и наименование</w:t>
            </w:r>
          </w:p>
          <w:p w:rsidR="005108D7" w:rsidRDefault="003D3757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</w:rPr>
            </w:pP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  <w:t>международного стандарта</w:t>
            </w:r>
          </w:p>
          <w:p w:rsidR="005108D7" w:rsidRDefault="003D3757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</w:pP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  <w:t>(документа)</w:t>
            </w:r>
          </w:p>
        </w:tc>
        <w:tc>
          <w:tcPr>
            <w:tcW w:w="900" w:type="dxa"/>
          </w:tcPr>
          <w:p w:rsidR="005108D7" w:rsidRDefault="003D3757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</w:rPr>
            </w:pP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val="en-US" w:eastAsia="zh-CN" w:bidi="ar"/>
              </w:rPr>
              <w:t>Степень</w:t>
            </w:r>
          </w:p>
          <w:p w:rsidR="005108D7" w:rsidRDefault="003D3757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</w:pP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val="en-US" w:eastAsia="zh-CN" w:bidi="ar"/>
              </w:rPr>
              <w:t>соответ</w:t>
            </w: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val="en-US" w:eastAsia="zh-CN" w:bidi="ar"/>
              </w:rPr>
              <w:softHyphen/>
              <w:t>ствия</w:t>
            </w:r>
          </w:p>
        </w:tc>
        <w:tc>
          <w:tcPr>
            <w:tcW w:w="3081" w:type="dxa"/>
          </w:tcPr>
          <w:p w:rsidR="005108D7" w:rsidRDefault="003D3757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</w:rPr>
            </w:pP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  <w:t>Обозначение и наименование</w:t>
            </w:r>
          </w:p>
          <w:p w:rsidR="005108D7" w:rsidRDefault="003D3757">
            <w:pPr>
              <w:shd w:val="clear" w:color="auto" w:fill="FFFFFF"/>
              <w:jc w:val="center"/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</w:pP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  <w:t>государстве</w:t>
            </w:r>
            <w:r>
              <w:rPr>
                <w:rFonts w:eastAsia="YS Text"/>
                <w:b/>
                <w:bCs/>
                <w:color w:val="000000"/>
                <w:szCs w:val="28"/>
                <w:shd w:val="clear" w:color="auto" w:fill="FFFFFF"/>
                <w:lang w:eastAsia="zh-CN" w:bidi="ar"/>
              </w:rPr>
              <w:t>нного (межгосударственного) стандарта</w:t>
            </w:r>
          </w:p>
        </w:tc>
      </w:tr>
    </w:tbl>
    <w:tbl>
      <w:tblPr>
        <w:tblStyle w:val="15"/>
        <w:tblW w:w="9570" w:type="dxa"/>
        <w:tblLayout w:type="fixed"/>
        <w:tblLook w:val="04A0" w:firstRow="1" w:lastRow="0" w:firstColumn="1" w:lastColumn="0" w:noHBand="0" w:noVBand="1"/>
      </w:tblPr>
      <w:tblGrid>
        <w:gridCol w:w="2918"/>
        <w:gridCol w:w="2671"/>
        <w:gridCol w:w="900"/>
        <w:gridCol w:w="3081"/>
      </w:tblGrid>
      <w:tr w:rsidR="005108D7">
        <w:trPr>
          <w:trHeight w:val="1653"/>
        </w:trPr>
        <w:tc>
          <w:tcPr>
            <w:tcW w:w="2918" w:type="dxa"/>
          </w:tcPr>
          <w:p w:rsidR="005108D7" w:rsidRPr="00224A64" w:rsidRDefault="003D3757">
            <w:pPr>
              <w:rPr>
                <w:rFonts w:eastAsia="YS Text"/>
                <w:b/>
                <w:bCs/>
                <w:color w:val="000000"/>
                <w:sz w:val="24"/>
                <w:shd w:val="clear" w:color="auto" w:fill="FFFFFF"/>
                <w:lang w:eastAsia="zh-CN" w:bidi="ar"/>
              </w:rPr>
            </w:pPr>
            <w:r>
              <w:rPr>
                <w:lang w:eastAsia="en-US"/>
              </w:rPr>
              <w:t>ISO 20957-1:</w:t>
            </w:r>
            <w:r w:rsidRPr="00224A64">
              <w:rPr>
                <w:lang w:eastAsia="en-US"/>
              </w:rPr>
              <w:t>2013 Тренажеры стационарные. Часть 1. Общие требования безопасности и методы испытаний (</w:t>
            </w:r>
            <w:r>
              <w:rPr>
                <w:lang w:val="en-US" w:eastAsia="en-US"/>
              </w:rPr>
              <w:t>Stationary</w:t>
            </w:r>
            <w:r w:rsidRPr="00224A64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training</w:t>
            </w:r>
            <w:r w:rsidRPr="00224A64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equipment</w:t>
            </w:r>
            <w:r w:rsidRPr="00224A64">
              <w:rPr>
                <w:lang w:eastAsia="en-US"/>
              </w:rPr>
              <w:t xml:space="preserve"> -- </w:t>
            </w:r>
            <w:r>
              <w:rPr>
                <w:lang w:val="en-US" w:eastAsia="en-US"/>
              </w:rPr>
              <w:t>Part</w:t>
            </w:r>
            <w:r w:rsidRPr="00224A64">
              <w:rPr>
                <w:lang w:eastAsia="en-US"/>
              </w:rPr>
              <w:t xml:space="preserve"> 1: </w:t>
            </w:r>
            <w:r>
              <w:rPr>
                <w:lang w:val="en-US" w:eastAsia="en-US"/>
              </w:rPr>
              <w:t>General</w:t>
            </w:r>
            <w:r w:rsidRPr="00224A64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safety</w:t>
            </w:r>
            <w:r w:rsidRPr="00224A64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requirements</w:t>
            </w:r>
            <w:r w:rsidRPr="00224A64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and</w:t>
            </w:r>
            <w:r w:rsidRPr="00224A64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test</w:t>
            </w:r>
            <w:r w:rsidRPr="00224A64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methods</w:t>
            </w:r>
            <w:r w:rsidRPr="00224A64">
              <w:rPr>
                <w:lang w:eastAsia="en-US"/>
              </w:rPr>
              <w:t>)</w:t>
            </w:r>
          </w:p>
        </w:tc>
        <w:tc>
          <w:tcPr>
            <w:tcW w:w="2671" w:type="dxa"/>
          </w:tcPr>
          <w:p w:rsidR="005108D7" w:rsidRDefault="003D3757">
            <w:pPr>
              <w:rPr>
                <w:rFonts w:eastAsia="YS Text"/>
                <w:b/>
                <w:bCs/>
                <w:color w:val="000000"/>
                <w:sz w:val="24"/>
                <w:shd w:val="clear" w:color="auto" w:fill="FFFFFF"/>
                <w:lang w:eastAsia="zh-CN" w:bidi="ar"/>
              </w:rPr>
            </w:pPr>
            <w:r>
              <w:rPr>
                <w:lang w:eastAsia="en-US"/>
              </w:rPr>
              <w:t xml:space="preserve">ISO 20957-1:2013 Тренажеры </w:t>
            </w:r>
            <w:r>
              <w:rPr>
                <w:lang w:eastAsia="en-US"/>
              </w:rPr>
              <w:t>стационарные. Часть 1. Общие требования безопасности и методы испытаний (Stationary training equipment -- Part 1: General safety requirements and test methods)</w:t>
            </w:r>
          </w:p>
        </w:tc>
        <w:tc>
          <w:tcPr>
            <w:tcW w:w="900" w:type="dxa"/>
          </w:tcPr>
          <w:p w:rsidR="005108D7" w:rsidRDefault="003D3757">
            <w:pPr>
              <w:tabs>
                <w:tab w:val="left" w:pos="1800"/>
              </w:tabs>
              <w:rPr>
                <w:rFonts w:eastAsia="YS Text"/>
                <w:b/>
                <w:bCs/>
                <w:color w:val="000000"/>
                <w:sz w:val="24"/>
                <w:shd w:val="clear" w:color="auto" w:fill="FFFFFF"/>
                <w:lang w:eastAsia="zh-CN" w:bidi="ar"/>
              </w:rPr>
            </w:pPr>
            <w:r>
              <w:rPr>
                <w:rFonts w:eastAsia="YS Text"/>
                <w:color w:val="000000"/>
                <w:szCs w:val="28"/>
                <w:shd w:val="clear" w:color="auto" w:fill="FFFFFF"/>
                <w:lang w:val="en-US"/>
              </w:rPr>
              <w:t>IDT</w:t>
            </w:r>
          </w:p>
        </w:tc>
        <w:tc>
          <w:tcPr>
            <w:tcW w:w="3081" w:type="dxa"/>
          </w:tcPr>
          <w:p w:rsidR="005108D7" w:rsidRPr="00224A64" w:rsidRDefault="003D3757">
            <w:pPr>
              <w:shd w:val="clear" w:color="auto" w:fill="FFFFFF"/>
              <w:rPr>
                <w:rFonts w:eastAsia="YS Text"/>
                <w:b/>
                <w:bCs/>
                <w:color w:val="000000"/>
                <w:sz w:val="24"/>
                <w:shd w:val="clear" w:color="auto" w:fill="FFFFFF"/>
                <w:lang w:eastAsia="zh-CN" w:bidi="ar"/>
              </w:rPr>
            </w:pPr>
            <w:r>
              <w:rPr>
                <w:rFonts w:eastAsia="SimSun"/>
                <w:szCs w:val="28"/>
                <w:shd w:val="clear" w:color="auto" w:fill="FFFFFF"/>
              </w:rPr>
              <w:t>СТ РК ISO 20957-1-2019</w:t>
            </w:r>
            <w:r w:rsidRPr="00224A64">
              <w:rPr>
                <w:rFonts w:eastAsia="SimSun"/>
                <w:szCs w:val="28"/>
                <w:shd w:val="clear" w:color="auto" w:fill="FFFFFF"/>
              </w:rPr>
              <w:t xml:space="preserve"> Тренажеры стационарные Часть 1 Общие требования безопасности и методы</w:t>
            </w:r>
            <w:r w:rsidRPr="00224A64">
              <w:rPr>
                <w:rFonts w:eastAsia="SimSun"/>
                <w:szCs w:val="28"/>
                <w:shd w:val="clear" w:color="auto" w:fill="FFFFFF"/>
              </w:rPr>
              <w:t xml:space="preserve"> испытаний</w:t>
            </w:r>
          </w:p>
        </w:tc>
      </w:tr>
    </w:tbl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5108D7">
      <w:pPr>
        <w:rPr>
          <w:color w:val="000000"/>
          <w:szCs w:val="28"/>
        </w:rPr>
      </w:pP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3D3757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УДК 796                       МКС </w:t>
      </w:r>
      <w:r>
        <w:rPr>
          <w:rFonts w:ascii="Times New Roman" w:hAnsi="Times New Roman"/>
          <w:b/>
          <w:sz w:val="28"/>
          <w:szCs w:val="28"/>
        </w:rPr>
        <w:t>97.220.30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IDT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5108D7" w:rsidRDefault="005108D7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08D7" w:rsidRDefault="003D3757" w:rsidP="0043384E">
      <w:pPr>
        <w:pStyle w:val="Style41"/>
        <w:pBdr>
          <w:bottom w:val="single" w:sz="12" w:space="1" w:color="auto"/>
        </w:pBdr>
        <w:suppressAutoHyphens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Ключевые слова: </w:t>
      </w:r>
      <w:r>
        <w:rPr>
          <w:rFonts w:ascii="Times New Roman" w:hAnsi="Times New Roman" w:cs="Times New Roman"/>
          <w:bCs/>
          <w:sz w:val="28"/>
          <w:szCs w:val="28"/>
        </w:rPr>
        <w:t>Тренажер, испытания</w:t>
      </w:r>
      <w:r w:rsidR="00224A6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3384E">
        <w:rPr>
          <w:rFonts w:ascii="Times New Roman" w:hAnsi="Times New Roman" w:cs="Times New Roman"/>
          <w:bCs/>
          <w:sz w:val="28"/>
          <w:szCs w:val="28"/>
        </w:rPr>
        <w:t>с</w:t>
      </w:r>
      <w:r w:rsidR="0043384E" w:rsidRPr="0043384E">
        <w:rPr>
          <w:rFonts w:ascii="Times New Roman" w:hAnsi="Times New Roman" w:cs="Times New Roman"/>
          <w:bCs/>
          <w:sz w:val="28"/>
          <w:szCs w:val="28"/>
        </w:rPr>
        <w:t>камья</w:t>
      </w:r>
      <w:r w:rsidR="0043384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3384E" w:rsidRPr="0043384E">
        <w:rPr>
          <w:rFonts w:ascii="Times New Roman" w:hAnsi="Times New Roman" w:cs="Times New Roman"/>
          <w:bCs/>
          <w:sz w:val="28"/>
          <w:szCs w:val="28"/>
        </w:rPr>
        <w:t>оборудование</w:t>
      </w:r>
      <w:r w:rsidR="0043384E">
        <w:rPr>
          <w:rFonts w:ascii="Times New Roman" w:hAnsi="Times New Roman" w:cs="Times New Roman"/>
          <w:bCs/>
          <w:sz w:val="28"/>
          <w:szCs w:val="28"/>
        </w:rPr>
        <w:t>, а</w:t>
      </w:r>
      <w:r w:rsidR="0043384E" w:rsidRPr="0043384E">
        <w:rPr>
          <w:rFonts w:ascii="Times New Roman" w:hAnsi="Times New Roman" w:cs="Times New Roman"/>
          <w:bCs/>
          <w:sz w:val="28"/>
          <w:szCs w:val="28"/>
        </w:rPr>
        <w:t>льпинизм</w:t>
      </w:r>
    </w:p>
    <w:p w:rsidR="005108D7" w:rsidRDefault="005108D7">
      <w:pPr>
        <w:ind w:firstLine="720"/>
        <w:rPr>
          <w:color w:val="000000"/>
          <w:szCs w:val="28"/>
        </w:rPr>
      </w:pPr>
    </w:p>
    <w:p w:rsidR="005108D7" w:rsidRDefault="003D3757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УДК 796                       МКС </w:t>
      </w:r>
      <w:r>
        <w:rPr>
          <w:rFonts w:ascii="Times New Roman" w:hAnsi="Times New Roman"/>
          <w:b/>
          <w:sz w:val="28"/>
          <w:szCs w:val="28"/>
        </w:rPr>
        <w:t>97.220.30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IDT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5108D7" w:rsidRDefault="005108D7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08D7" w:rsidRDefault="003D3757" w:rsidP="0043384E">
      <w:pPr>
        <w:pStyle w:val="Style41"/>
        <w:pBdr>
          <w:bottom w:val="single" w:sz="12" w:space="0" w:color="auto"/>
        </w:pBdr>
        <w:suppressAutoHyphens/>
        <w:rPr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Ключевые слова: </w:t>
      </w:r>
      <w:r>
        <w:rPr>
          <w:rFonts w:ascii="Times New Roman" w:hAnsi="Times New Roman" w:cs="Times New Roman"/>
          <w:bCs/>
          <w:sz w:val="28"/>
          <w:szCs w:val="28"/>
        </w:rPr>
        <w:t>Тренажер, испытания</w:t>
      </w:r>
      <w:r w:rsidR="0043384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3384E" w:rsidRPr="0043384E">
        <w:rPr>
          <w:rFonts w:ascii="Times New Roman" w:hAnsi="Times New Roman" w:cs="Times New Roman"/>
          <w:bCs/>
          <w:sz w:val="28"/>
          <w:szCs w:val="28"/>
        </w:rPr>
        <w:t>скамья, оборудование, альпинизм</w:t>
      </w:r>
    </w:p>
    <w:bookmarkEnd w:id="0"/>
    <w:bookmarkEnd w:id="1"/>
    <w:bookmarkEnd w:id="2"/>
    <w:p w:rsidR="005108D7" w:rsidRDefault="005108D7">
      <w:pPr>
        <w:suppressAutoHyphens/>
        <w:ind w:firstLine="567"/>
        <w:rPr>
          <w:szCs w:val="28"/>
        </w:rPr>
      </w:pPr>
    </w:p>
    <w:p w:rsidR="005108D7" w:rsidRDefault="003D3757">
      <w:pPr>
        <w:suppressAutoHyphens/>
        <w:ind w:firstLine="567"/>
        <w:rPr>
          <w:b/>
          <w:bCs/>
          <w:szCs w:val="28"/>
        </w:rPr>
      </w:pPr>
      <w:r>
        <w:rPr>
          <w:b/>
          <w:bCs/>
          <w:szCs w:val="28"/>
        </w:rPr>
        <w:t>РАЗРАБОТЧИКИ:</w:t>
      </w:r>
    </w:p>
    <w:p w:rsidR="005108D7" w:rsidRDefault="003D3757">
      <w:pPr>
        <w:tabs>
          <w:tab w:val="left" w:pos="3104"/>
        </w:tabs>
        <w:suppressAutoHyphens/>
        <w:ind w:firstLine="567"/>
        <w:rPr>
          <w:szCs w:val="28"/>
        </w:rPr>
      </w:pPr>
      <w:r>
        <w:rPr>
          <w:szCs w:val="28"/>
        </w:rPr>
        <w:t>Казахстанский институт стандартизации и метрологии совместно с Т</w:t>
      </w:r>
      <w:r w:rsidRPr="00224A64">
        <w:rPr>
          <w:szCs w:val="28"/>
        </w:rPr>
        <w:t>ехнически</w:t>
      </w:r>
      <w:r>
        <w:rPr>
          <w:szCs w:val="28"/>
        </w:rPr>
        <w:t>м</w:t>
      </w:r>
      <w:r w:rsidRPr="00224A64">
        <w:rPr>
          <w:szCs w:val="28"/>
        </w:rPr>
        <w:t xml:space="preserve"> комитет</w:t>
      </w:r>
      <w:r>
        <w:rPr>
          <w:szCs w:val="28"/>
        </w:rPr>
        <w:t>ом</w:t>
      </w:r>
      <w:r w:rsidRPr="00224A64">
        <w:rPr>
          <w:szCs w:val="28"/>
        </w:rPr>
        <w:t xml:space="preserve"> по стандартизации </w:t>
      </w:r>
      <w:r>
        <w:rPr>
          <w:szCs w:val="28"/>
        </w:rPr>
        <w:t>ТК</w:t>
      </w:r>
      <w:r w:rsidRPr="00224A64">
        <w:rPr>
          <w:szCs w:val="28"/>
        </w:rPr>
        <w:t xml:space="preserve"> </w:t>
      </w:r>
      <w:r>
        <w:rPr>
          <w:szCs w:val="28"/>
        </w:rPr>
        <w:t>118 «Опасные технические устройства»</w:t>
      </w:r>
      <w:r w:rsidR="00224A64">
        <w:rPr>
          <w:szCs w:val="28"/>
        </w:rPr>
        <w:t xml:space="preserve"> на базе ТОО «Качество и р</w:t>
      </w:r>
      <w:r w:rsidR="00224A64" w:rsidRPr="00224A64">
        <w:rPr>
          <w:szCs w:val="28"/>
        </w:rPr>
        <w:t>езультат»</w:t>
      </w:r>
    </w:p>
    <w:p w:rsidR="005108D7" w:rsidRDefault="005108D7">
      <w:pPr>
        <w:tabs>
          <w:tab w:val="left" w:pos="3104"/>
        </w:tabs>
        <w:suppressAutoHyphens/>
        <w:ind w:firstLine="567"/>
        <w:rPr>
          <w:szCs w:val="28"/>
        </w:rPr>
      </w:pPr>
    </w:p>
    <w:p w:rsidR="005108D7" w:rsidRDefault="003D3757">
      <w:pPr>
        <w:tabs>
          <w:tab w:val="left" w:pos="3104"/>
        </w:tabs>
        <w:suppressAutoHyphens/>
        <w:ind w:firstLine="567"/>
        <w:rPr>
          <w:szCs w:val="28"/>
        </w:rPr>
      </w:pPr>
      <w:r>
        <w:rPr>
          <w:szCs w:val="28"/>
        </w:rPr>
        <w:t>Замест</w:t>
      </w:r>
      <w:r>
        <w:rPr>
          <w:szCs w:val="28"/>
        </w:rPr>
        <w:t xml:space="preserve">итель генерального директора </w:t>
      </w:r>
      <w:r>
        <w:rPr>
          <w:szCs w:val="28"/>
        </w:rPr>
        <w:tab/>
      </w:r>
      <w:r>
        <w:rPr>
          <w:szCs w:val="28"/>
        </w:rPr>
        <w:tab/>
        <w:t xml:space="preserve">            Е. Амирханова </w:t>
      </w:r>
    </w:p>
    <w:p w:rsidR="005108D7" w:rsidRDefault="005108D7">
      <w:pPr>
        <w:suppressAutoHyphens/>
        <w:ind w:firstLine="567"/>
        <w:rPr>
          <w:szCs w:val="28"/>
        </w:rPr>
      </w:pPr>
    </w:p>
    <w:tbl>
      <w:tblPr>
        <w:tblW w:w="4854" w:type="pct"/>
        <w:tblLook w:val="04A0" w:firstRow="1" w:lastRow="0" w:firstColumn="1" w:lastColumn="0" w:noHBand="0" w:noVBand="1"/>
      </w:tblPr>
      <w:tblGrid>
        <w:gridCol w:w="4569"/>
        <w:gridCol w:w="2705"/>
        <w:gridCol w:w="2018"/>
      </w:tblGrid>
      <w:tr w:rsidR="005108D7">
        <w:tc>
          <w:tcPr>
            <w:tcW w:w="2458" w:type="pct"/>
          </w:tcPr>
          <w:p w:rsidR="005108D7" w:rsidRDefault="005108D7">
            <w:pPr>
              <w:suppressAutoHyphens/>
              <w:ind w:left="567"/>
              <w:rPr>
                <w:szCs w:val="28"/>
                <w:lang w:eastAsia="en-US"/>
              </w:rPr>
            </w:pPr>
          </w:p>
          <w:p w:rsidR="005108D7" w:rsidRDefault="003D3757">
            <w:pPr>
              <w:suppressAutoHyphens/>
              <w:ind w:left="567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Руководитель Департамента разработки нормативных технических документов (ДРНТД) </w:t>
            </w:r>
          </w:p>
          <w:p w:rsidR="005108D7" w:rsidRDefault="005108D7">
            <w:pPr>
              <w:suppressAutoHyphens/>
              <w:ind w:left="567"/>
              <w:rPr>
                <w:szCs w:val="28"/>
                <w:lang w:eastAsia="en-US"/>
              </w:rPr>
            </w:pPr>
          </w:p>
          <w:p w:rsidR="005108D7" w:rsidRDefault="005108D7">
            <w:pPr>
              <w:suppressAutoHyphens/>
              <w:ind w:left="567"/>
              <w:rPr>
                <w:szCs w:val="28"/>
                <w:lang w:eastAsia="en-US"/>
              </w:rPr>
            </w:pPr>
          </w:p>
          <w:p w:rsidR="005108D7" w:rsidRDefault="003D3757">
            <w:pPr>
              <w:suppressAutoHyphens/>
              <w:ind w:left="567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Ведущий специалист ДРНТД</w:t>
            </w:r>
          </w:p>
          <w:p w:rsidR="005108D7" w:rsidRDefault="005108D7">
            <w:pPr>
              <w:suppressAutoHyphens/>
              <w:ind w:left="567"/>
              <w:rPr>
                <w:szCs w:val="28"/>
                <w:lang w:eastAsia="en-US"/>
              </w:rPr>
            </w:pPr>
          </w:p>
          <w:p w:rsidR="005108D7" w:rsidRPr="00224A64" w:rsidRDefault="003D3757">
            <w:pPr>
              <w:suppressAutoHyphens/>
              <w:ind w:left="567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Директор</w:t>
            </w:r>
          </w:p>
          <w:p w:rsidR="005108D7" w:rsidRPr="00224A64" w:rsidRDefault="003D3757">
            <w:pPr>
              <w:suppressAutoHyphens/>
              <w:ind w:left="567"/>
              <w:rPr>
                <w:szCs w:val="28"/>
              </w:rPr>
            </w:pPr>
            <w:r>
              <w:rPr>
                <w:szCs w:val="28"/>
                <w:lang w:eastAsia="en-US"/>
              </w:rPr>
              <w:t>ТОО</w:t>
            </w:r>
            <w:r w:rsidRPr="00224A64">
              <w:rPr>
                <w:szCs w:val="28"/>
                <w:lang w:eastAsia="en-US"/>
              </w:rPr>
              <w:t xml:space="preserve"> </w:t>
            </w:r>
            <w:r w:rsidRPr="00224A64">
              <w:rPr>
                <w:szCs w:val="28"/>
              </w:rPr>
              <w:t>«</w:t>
            </w:r>
            <w:r w:rsidR="00224A64">
              <w:rPr>
                <w:szCs w:val="28"/>
              </w:rPr>
              <w:t>Качество и р</w:t>
            </w:r>
            <w:r>
              <w:rPr>
                <w:szCs w:val="28"/>
              </w:rPr>
              <w:t>езультат</w:t>
            </w:r>
            <w:r w:rsidRPr="00224A64">
              <w:rPr>
                <w:szCs w:val="28"/>
              </w:rPr>
              <w:t>»</w:t>
            </w:r>
          </w:p>
          <w:p w:rsidR="005108D7" w:rsidRPr="00224A64" w:rsidRDefault="005108D7">
            <w:pPr>
              <w:suppressAutoHyphens/>
              <w:ind w:left="567"/>
              <w:rPr>
                <w:szCs w:val="28"/>
                <w:lang w:eastAsia="en-US"/>
              </w:rPr>
            </w:pPr>
          </w:p>
          <w:p w:rsidR="005108D7" w:rsidRPr="00224A64" w:rsidRDefault="005108D7">
            <w:pPr>
              <w:suppressAutoHyphens/>
              <w:ind w:left="567"/>
              <w:rPr>
                <w:szCs w:val="28"/>
                <w:lang w:eastAsia="en-US"/>
              </w:rPr>
            </w:pPr>
          </w:p>
          <w:p w:rsidR="005108D7" w:rsidRPr="00224A64" w:rsidRDefault="003D3757">
            <w:pPr>
              <w:suppressAutoHyphens/>
              <w:ind w:left="567"/>
              <w:rPr>
                <w:szCs w:val="28"/>
              </w:rPr>
            </w:pPr>
            <w:r>
              <w:rPr>
                <w:szCs w:val="28"/>
                <w:lang w:eastAsia="en-US"/>
              </w:rPr>
              <w:t>Эксперт ТОО</w:t>
            </w:r>
            <w:r w:rsidRPr="00224A64">
              <w:rPr>
                <w:szCs w:val="28"/>
                <w:lang w:eastAsia="en-US"/>
              </w:rPr>
              <w:t xml:space="preserve"> </w:t>
            </w:r>
            <w:r w:rsidRPr="00224A64">
              <w:rPr>
                <w:szCs w:val="28"/>
              </w:rPr>
              <w:t>«</w:t>
            </w:r>
            <w:r w:rsidR="00224A64">
              <w:rPr>
                <w:szCs w:val="28"/>
              </w:rPr>
              <w:t>Качество и р</w:t>
            </w:r>
            <w:r>
              <w:rPr>
                <w:szCs w:val="28"/>
              </w:rPr>
              <w:t>езультат</w:t>
            </w:r>
            <w:r w:rsidRPr="00224A64">
              <w:rPr>
                <w:szCs w:val="28"/>
              </w:rPr>
              <w:t>»</w:t>
            </w:r>
            <w:r>
              <w:t xml:space="preserve"> </w:t>
            </w:r>
          </w:p>
          <w:p w:rsidR="005108D7" w:rsidRDefault="005108D7">
            <w:pPr>
              <w:suppressAutoHyphens/>
              <w:ind w:left="567"/>
              <w:rPr>
                <w:szCs w:val="28"/>
                <w:lang w:eastAsia="en-US"/>
              </w:rPr>
            </w:pPr>
          </w:p>
        </w:tc>
        <w:tc>
          <w:tcPr>
            <w:tcW w:w="1455" w:type="pct"/>
          </w:tcPr>
          <w:p w:rsidR="005108D7" w:rsidRPr="00224A64" w:rsidRDefault="005108D7">
            <w:pPr>
              <w:suppressAutoHyphens/>
              <w:rPr>
                <w:szCs w:val="28"/>
                <w:lang w:eastAsia="en-US"/>
              </w:rPr>
            </w:pPr>
          </w:p>
        </w:tc>
        <w:tc>
          <w:tcPr>
            <w:tcW w:w="1086" w:type="pct"/>
          </w:tcPr>
          <w:p w:rsidR="005108D7" w:rsidRPr="00224A64" w:rsidRDefault="005108D7">
            <w:pPr>
              <w:suppressAutoHyphens/>
              <w:jc w:val="right"/>
              <w:rPr>
                <w:szCs w:val="28"/>
                <w:lang w:eastAsia="en-US"/>
              </w:rPr>
            </w:pPr>
          </w:p>
          <w:p w:rsidR="005108D7" w:rsidRDefault="005108D7">
            <w:pPr>
              <w:suppressAutoHyphens/>
              <w:wordWrap w:val="0"/>
              <w:jc w:val="right"/>
              <w:rPr>
                <w:szCs w:val="28"/>
                <w:lang w:eastAsia="en-US"/>
              </w:rPr>
            </w:pPr>
          </w:p>
          <w:p w:rsidR="005108D7" w:rsidRDefault="005108D7">
            <w:pPr>
              <w:suppressAutoHyphens/>
              <w:wordWrap w:val="0"/>
              <w:jc w:val="right"/>
              <w:rPr>
                <w:szCs w:val="28"/>
                <w:lang w:eastAsia="en-US"/>
              </w:rPr>
            </w:pPr>
          </w:p>
          <w:p w:rsidR="005108D7" w:rsidRDefault="003D3757" w:rsidP="0043384E">
            <w:pPr>
              <w:suppressAutoHyphens/>
              <w:wordWrap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А. </w:t>
            </w:r>
            <w:r>
              <w:rPr>
                <w:szCs w:val="28"/>
                <w:lang w:eastAsia="en-US"/>
              </w:rPr>
              <w:t>Сопбеков</w:t>
            </w:r>
          </w:p>
          <w:p w:rsidR="005108D7" w:rsidRDefault="005108D7">
            <w:pPr>
              <w:suppressAutoHyphens/>
              <w:wordWrap w:val="0"/>
              <w:jc w:val="right"/>
              <w:rPr>
                <w:szCs w:val="28"/>
                <w:lang w:eastAsia="en-US"/>
              </w:rPr>
            </w:pPr>
          </w:p>
          <w:p w:rsidR="005108D7" w:rsidRDefault="005108D7">
            <w:pPr>
              <w:suppressAutoHyphens/>
              <w:wordWrap w:val="0"/>
              <w:jc w:val="right"/>
              <w:rPr>
                <w:szCs w:val="28"/>
                <w:lang w:eastAsia="en-US"/>
              </w:rPr>
            </w:pPr>
          </w:p>
          <w:p w:rsidR="005108D7" w:rsidRDefault="005108D7">
            <w:pPr>
              <w:suppressAutoHyphens/>
              <w:wordWrap w:val="0"/>
              <w:jc w:val="right"/>
              <w:rPr>
                <w:szCs w:val="28"/>
                <w:lang w:eastAsia="en-US"/>
              </w:rPr>
            </w:pPr>
          </w:p>
          <w:p w:rsidR="005108D7" w:rsidRDefault="003D3757" w:rsidP="0043384E">
            <w:pPr>
              <w:suppressAutoHyphens/>
              <w:wordWrap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Ж. Бейсен</w:t>
            </w:r>
          </w:p>
          <w:p w:rsidR="005108D7" w:rsidRDefault="005108D7">
            <w:pPr>
              <w:suppressAutoHyphens/>
              <w:wordWrap w:val="0"/>
              <w:jc w:val="right"/>
              <w:rPr>
                <w:szCs w:val="28"/>
                <w:lang w:eastAsia="en-US"/>
              </w:rPr>
            </w:pPr>
          </w:p>
          <w:p w:rsidR="005108D7" w:rsidRDefault="003D3757">
            <w:pPr>
              <w:suppressAutoHyphens/>
              <w:wordWrap w:val="0"/>
              <w:ind w:left="-388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Е. И. Цечоеваа.   </w:t>
            </w:r>
          </w:p>
          <w:p w:rsidR="005108D7" w:rsidRDefault="005108D7">
            <w:pPr>
              <w:suppressAutoHyphens/>
              <w:wordWrap w:val="0"/>
              <w:ind w:left="-388"/>
              <w:rPr>
                <w:szCs w:val="28"/>
              </w:rPr>
            </w:pPr>
          </w:p>
          <w:p w:rsidR="005108D7" w:rsidRDefault="005108D7">
            <w:pPr>
              <w:suppressAutoHyphens/>
              <w:wordWrap w:val="0"/>
              <w:ind w:left="-388"/>
              <w:rPr>
                <w:szCs w:val="28"/>
              </w:rPr>
            </w:pPr>
          </w:p>
          <w:p w:rsidR="005108D7" w:rsidRDefault="003D3757">
            <w:pPr>
              <w:suppressAutoHyphens/>
              <w:wordWrap w:val="0"/>
              <w:ind w:left="-388"/>
              <w:rPr>
                <w:szCs w:val="28"/>
                <w:lang w:eastAsia="en-US"/>
              </w:rPr>
            </w:pPr>
            <w:r>
              <w:rPr>
                <w:szCs w:val="28"/>
              </w:rPr>
              <w:t xml:space="preserve">     </w:t>
            </w:r>
            <w:r w:rsidR="0043384E">
              <w:rPr>
                <w:szCs w:val="28"/>
              </w:rPr>
              <w:t xml:space="preserve"> </w:t>
            </w:r>
            <w:bookmarkStart w:id="16" w:name="_GoBack"/>
            <w:bookmarkEnd w:id="16"/>
            <w:r>
              <w:rPr>
                <w:szCs w:val="28"/>
              </w:rPr>
              <w:t>К.</w:t>
            </w:r>
            <w:r>
              <w:rPr>
                <w:szCs w:val="28"/>
                <w:lang w:val="en-US"/>
              </w:rPr>
              <w:t xml:space="preserve"> Цечоев</w:t>
            </w:r>
          </w:p>
        </w:tc>
      </w:tr>
    </w:tbl>
    <w:p w:rsidR="005108D7" w:rsidRDefault="005108D7">
      <w:pPr>
        <w:shd w:val="clear" w:color="auto" w:fill="FFFFFF"/>
        <w:ind w:left="2160" w:firstLine="567"/>
      </w:pPr>
    </w:p>
    <w:p w:rsidR="005108D7" w:rsidRDefault="005108D7">
      <w:pPr>
        <w:shd w:val="clear" w:color="auto" w:fill="FFFFFF"/>
        <w:ind w:left="2160" w:firstLine="567"/>
      </w:pPr>
    </w:p>
    <w:sectPr w:rsidR="005108D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nextColumn"/>
      <w:pgSz w:w="11906" w:h="16838"/>
      <w:pgMar w:top="1417" w:right="1417" w:bottom="1417" w:left="1134" w:header="1022" w:footer="102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757" w:rsidRDefault="003D3757">
      <w:r>
        <w:separator/>
      </w:r>
    </w:p>
  </w:endnote>
  <w:endnote w:type="continuationSeparator" w:id="0">
    <w:p w:rsidR="003D3757" w:rsidRDefault="003D3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altName w:val="Microsoft Sans Serif"/>
    <w:charset w:val="DE"/>
    <w:family w:val="roman"/>
    <w:pitch w:val="default"/>
    <w:sig w:usb0="00000000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charset w:val="00"/>
    <w:family w:val="roman"/>
    <w:pitch w:val="default"/>
  </w:font>
  <w:font w:name="YS Text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8D7" w:rsidRDefault="003D3757">
    <w:pPr>
      <w:ind w:right="-8"/>
      <w:rPr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Текстовое поле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108D7" w:rsidRDefault="003D3757">
                          <w:pPr>
                            <w:ind w:right="-8"/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 w:rsidR="0043384E">
                            <w:rPr>
                              <w:noProof/>
                              <w:sz w:val="24"/>
                            </w:rPr>
                            <w:t>10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5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" filled="f" stroked="f" strokeweight=".5pt">
              <v:textbox style="mso-fit-shape-to-text:t" inset="0,0,0,0">
                <w:txbxContent>
                  <w:p w:rsidR="005108D7" w:rsidRDefault="003D3757">
                    <w:pPr>
                      <w:ind w:right="-8"/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 w:rsidR="0043384E">
                      <w:rPr>
                        <w:noProof/>
                        <w:sz w:val="24"/>
                      </w:rPr>
                      <w:t>10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8D7" w:rsidRDefault="003D3757">
    <w:pPr>
      <w:ind w:right="-8"/>
      <w:jc w:val="right"/>
      <w:rPr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Текстовое поле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108D7" w:rsidRDefault="003D3757">
                          <w:pPr>
                            <w:ind w:right="-8"/>
                            <w:jc w:val="right"/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 w:rsidR="0043384E">
                            <w:rPr>
                              <w:noProof/>
                              <w:sz w:val="24"/>
                            </w:rPr>
                            <w:t>9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4" o:spid="_x0000_s1027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" filled="f" stroked="f" strokeweight=".5pt">
              <v:textbox style="mso-fit-shape-to-text:t" inset="0,0,0,0">
                <w:txbxContent>
                  <w:p w:rsidR="005108D7" w:rsidRDefault="003D3757">
                    <w:pPr>
                      <w:ind w:right="-8"/>
                      <w:jc w:val="right"/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 w:rsidR="0043384E">
                      <w:rPr>
                        <w:noProof/>
                        <w:sz w:val="24"/>
                      </w:rPr>
                      <w:t>9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8D7" w:rsidRDefault="005108D7">
    <w:pPr>
      <w:pStyle w:val="afd"/>
      <w:pBdr>
        <w:bottom w:val="single" w:sz="12" w:space="1" w:color="auto"/>
      </w:pBdr>
    </w:pPr>
  </w:p>
  <w:p w:rsidR="005108D7" w:rsidRDefault="003D3757">
    <w:pPr>
      <w:pStyle w:val="afd"/>
    </w:pPr>
    <w:r>
      <w:t>Проект, 1 редакция</w:t>
    </w:r>
    <w:r>
      <w:tab/>
    </w:r>
    <w:r>
      <w:tab/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757" w:rsidRDefault="003D3757">
      <w:r>
        <w:separator/>
      </w:r>
    </w:p>
  </w:footnote>
  <w:footnote w:type="continuationSeparator" w:id="0">
    <w:p w:rsidR="003D3757" w:rsidRDefault="003D3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8D7" w:rsidRDefault="003D3757">
    <w:pPr>
      <w:jc w:val="left"/>
      <w:rPr>
        <w:b/>
        <w:bCs/>
        <w:sz w:val="24"/>
      </w:rPr>
    </w:pPr>
    <w:bookmarkStart w:id="17" w:name="_Hlk135412012"/>
    <w:bookmarkStart w:id="18" w:name="_Hlk135412013"/>
    <w:bookmarkStart w:id="19" w:name="_Hlk135412014"/>
    <w:bookmarkStart w:id="20" w:name="_Hlk135412011"/>
    <w:bookmarkStart w:id="21" w:name="_Hlk135412016"/>
    <w:bookmarkStart w:id="22" w:name="_Hlk135412015"/>
    <w:r>
      <w:rPr>
        <w:b/>
        <w:bCs/>
        <w:sz w:val="24"/>
      </w:rPr>
      <w:t>СТ РК ISO 20957-4:2016</w:t>
    </w:r>
  </w:p>
  <w:p w:rsidR="005108D7" w:rsidRDefault="003D3757">
    <w:pPr>
      <w:jc w:val="left"/>
      <w:rPr>
        <w:i/>
        <w:sz w:val="24"/>
      </w:rPr>
    </w:pPr>
    <w:r>
      <w:rPr>
        <w:i/>
        <w:sz w:val="24"/>
      </w:rPr>
      <w:t>(проект, редакция 1)</w:t>
    </w:r>
    <w:bookmarkEnd w:id="17"/>
    <w:bookmarkEnd w:id="18"/>
    <w:bookmarkEnd w:id="19"/>
    <w:bookmarkEnd w:id="20"/>
    <w:bookmarkEnd w:id="21"/>
    <w:bookmarkEnd w:id="22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8D7" w:rsidRDefault="003D3757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</w:t>
    </w:r>
    <w:bookmarkStart w:id="23" w:name="_Hlk135411795"/>
    <w:bookmarkStart w:id="24" w:name="_Hlk135411796"/>
    <w:bookmarkStart w:id="25" w:name="_Hlk135411815"/>
    <w:bookmarkStart w:id="26" w:name="_Hlk135411816"/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 w:rsidRPr="00224A64">
      <w:rPr>
        <w:b/>
        <w:bCs/>
        <w:sz w:val="24"/>
      </w:rPr>
      <w:t xml:space="preserve"> 20957-</w:t>
    </w:r>
    <w:r>
      <w:rPr>
        <w:b/>
        <w:bCs/>
        <w:sz w:val="24"/>
      </w:rPr>
      <w:t>4</w:t>
    </w:r>
    <w:r w:rsidRPr="00224A64">
      <w:rPr>
        <w:b/>
        <w:bCs/>
        <w:sz w:val="24"/>
      </w:rPr>
      <w:t>:201</w:t>
    </w:r>
    <w:r>
      <w:rPr>
        <w:b/>
        <w:bCs/>
        <w:sz w:val="24"/>
      </w:rPr>
      <w:t>6</w:t>
    </w:r>
  </w:p>
  <w:p w:rsidR="005108D7" w:rsidRDefault="003D3757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(проект, редакция 1)                    </w:t>
    </w:r>
    <w:r>
      <w:rPr>
        <w:i/>
        <w:sz w:val="24"/>
      </w:rPr>
      <w:t xml:space="preserve">       </w:t>
    </w:r>
    <w:bookmarkEnd w:id="23"/>
    <w:bookmarkEnd w:id="24"/>
    <w:bookmarkEnd w:id="25"/>
    <w:bookmarkEnd w:id="26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8D7" w:rsidRDefault="003D3757">
    <w:pPr>
      <w:jc w:val="right"/>
      <w:rPr>
        <w:b/>
        <w:bCs/>
        <w:sz w:val="24"/>
      </w:rPr>
    </w:pPr>
    <w:r>
      <w:rPr>
        <w:b/>
        <w:bCs/>
        <w:sz w:val="24"/>
      </w:rPr>
      <w:t>СТ РК ISO 20957-4:2016</w:t>
    </w:r>
  </w:p>
  <w:p w:rsidR="005108D7" w:rsidRDefault="003D3757">
    <w:pPr>
      <w:jc w:val="right"/>
    </w:pPr>
    <w:r>
      <w:rPr>
        <w:i/>
        <w:sz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9048E"/>
    <w:multiLevelType w:val="multilevel"/>
    <w:tmpl w:val="30F9048E"/>
    <w:lvl w:ilvl="0">
      <w:start w:val="1"/>
      <w:numFmt w:val="russianLower"/>
      <w:pStyle w:val="0"/>
      <w:lvlText w:val="%1)"/>
      <w:lvlJc w:val="left"/>
      <w:pPr>
        <w:tabs>
          <w:tab w:val="left" w:pos="1980"/>
        </w:tabs>
        <w:ind w:left="19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>
      <w:start w:val="1"/>
      <w:numFmt w:val="decimal"/>
      <w:lvlText w:val="%3)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1">
    <w:nsid w:val="5A3A350F"/>
    <w:multiLevelType w:val="multilevel"/>
    <w:tmpl w:val="5A3A350F"/>
    <w:lvl w:ilvl="0">
      <w:start w:val="1"/>
      <w:numFmt w:val="decimal"/>
      <w:lvlText w:val="%1"/>
      <w:lvlJc w:val="left"/>
      <w:pPr>
        <w:tabs>
          <w:tab w:val="left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left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left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left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7824"/>
        </w:tabs>
        <w:ind w:left="782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4A64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6544"/>
    <w:rsid w:val="00247906"/>
    <w:rsid w:val="00250E0D"/>
    <w:rsid w:val="0025334C"/>
    <w:rsid w:val="00254047"/>
    <w:rsid w:val="0025541A"/>
    <w:rsid w:val="00255819"/>
    <w:rsid w:val="00255AB3"/>
    <w:rsid w:val="00255DBE"/>
    <w:rsid w:val="00260166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FA4"/>
    <w:rsid w:val="002F6DF9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2A92"/>
    <w:rsid w:val="003D2D80"/>
    <w:rsid w:val="003D35BD"/>
    <w:rsid w:val="003D3757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384E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08D7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4561"/>
    <w:rsid w:val="00564BC6"/>
    <w:rsid w:val="00564C77"/>
    <w:rsid w:val="00567E55"/>
    <w:rsid w:val="00570461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2DD0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2135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3E87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82D"/>
    <w:rsid w:val="00944B9A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1DFD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2205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2F4A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3F0F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5F5D"/>
    <w:rsid w:val="00B474D4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07BC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009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293B"/>
    <w:rsid w:val="00DB3033"/>
    <w:rsid w:val="00DB4236"/>
    <w:rsid w:val="00DB4DA5"/>
    <w:rsid w:val="00DB5C98"/>
    <w:rsid w:val="00DB7987"/>
    <w:rsid w:val="00DC057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0CA1"/>
    <w:rsid w:val="00DE275D"/>
    <w:rsid w:val="00DE2CD3"/>
    <w:rsid w:val="00DE36C6"/>
    <w:rsid w:val="00DE36DB"/>
    <w:rsid w:val="00DE3B36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5ED3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  <w:rsid w:val="01381356"/>
    <w:rsid w:val="05390740"/>
    <w:rsid w:val="10186A75"/>
    <w:rsid w:val="19B117EF"/>
    <w:rsid w:val="1A5F79CF"/>
    <w:rsid w:val="1BAF4FC1"/>
    <w:rsid w:val="1FB10C3B"/>
    <w:rsid w:val="27CE6479"/>
    <w:rsid w:val="319F1237"/>
    <w:rsid w:val="3A666BE5"/>
    <w:rsid w:val="4C7D4666"/>
    <w:rsid w:val="4F307DDC"/>
    <w:rsid w:val="57AE5CAA"/>
    <w:rsid w:val="5E306D88"/>
    <w:rsid w:val="67945F60"/>
    <w:rsid w:val="6DCD13FF"/>
    <w:rsid w:val="7843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0" w:unhideWhenUsed="0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 w:qFormat="1"/>
    <w:lsdException w:name="toc 7" w:semiHidden="0" w:uiPriority="39" w:unhideWhenUsed="0" w:qFormat="1"/>
    <w:lsdException w:name="toc 8" w:semiHidden="0" w:uiPriority="39" w:unhideWhenUsed="0" w:qFormat="1"/>
    <w:lsdException w:name="toc 9" w:semiHidden="0" w:uiPriority="39" w:unhideWhenUsed="0" w:qFormat="1"/>
    <w:lsdException w:name="footnote text" w:unhideWhenUsed="0" w:qFormat="1"/>
    <w:lsdException w:name="annotation text" w:semiHidden="0" w:unhideWhenUsed="0" w:qFormat="1"/>
    <w:lsdException w:name="header" w:semiHidden="0" w:uiPriority="99" w:unhideWhenUsed="0" w:qFormat="1"/>
    <w:lsdException w:name="footer" w:semiHidden="0" w:unhideWhenUsed="0" w:qFormat="1"/>
    <w:lsdException w:name="caption" w:semiHidden="0" w:unhideWhenUsed="0" w:qFormat="1"/>
    <w:lsdException w:name="footnote reference" w:unhideWhenUsed="0" w:qFormat="1"/>
    <w:lsdException w:name="annotation reference" w:semiHidden="0" w:unhideWhenUsed="0" w:qFormat="1"/>
    <w:lsdException w:name="page number" w:semiHidden="0" w:unhideWhenUsed="0" w:qFormat="1"/>
    <w:lsdException w:name="endnote reference" w:semiHidden="0" w:unhideWhenUsed="0" w:qFormat="1"/>
    <w:lsdException w:name="endnote text" w:semiHidden="0" w:unhideWhenUsed="0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List Continue 3" w:semiHidden="0" w:unhideWhenUsed="0"/>
    <w:lsdException w:name="List Continue 4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semiHidden="0" w:uiPriority="99" w:unhideWhenUsed="0" w:qFormat="1"/>
    <w:lsdException w:name="FollowedHyperlink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semiHidden="0" w:uiPriority="5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jc w:val="both"/>
    </w:pPr>
    <w:rPr>
      <w:rFonts w:eastAsia="Times New Roman"/>
      <w:sz w:val="28"/>
      <w:szCs w:val="24"/>
    </w:rPr>
  </w:style>
  <w:style w:type="paragraph" w:styleId="1">
    <w:name w:val="heading 1"/>
    <w:next w:val="a0"/>
    <w:link w:val="10"/>
    <w:uiPriority w:val="9"/>
    <w:qFormat/>
    <w:pPr>
      <w:widowControl w:val="0"/>
      <w:tabs>
        <w:tab w:val="left" w:pos="1134"/>
      </w:tabs>
      <w:spacing w:before="240" w:after="240"/>
      <w:ind w:firstLine="720"/>
      <w:outlineLvl w:val="0"/>
    </w:pPr>
    <w:rPr>
      <w:rFonts w:eastAsia="Times New Roman"/>
      <w:b/>
      <w:sz w:val="28"/>
      <w:szCs w:val="28"/>
    </w:rPr>
  </w:style>
  <w:style w:type="paragraph" w:styleId="2">
    <w:name w:val="heading 2"/>
    <w:basedOn w:val="4"/>
    <w:next w:val="a0"/>
    <w:qFormat/>
    <w:pPr>
      <w:keepNext/>
      <w:numPr>
        <w:ilvl w:val="1"/>
        <w:numId w:val="1"/>
      </w:numPr>
      <w:spacing w:after="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Continue 4"/>
    <w:basedOn w:val="a0"/>
    <w:qFormat/>
    <w:pPr>
      <w:spacing w:after="120"/>
      <w:ind w:left="1132"/>
    </w:pPr>
  </w:style>
  <w:style w:type="character" w:styleId="a4">
    <w:name w:val="FollowedHyperlink"/>
    <w:basedOn w:val="a1"/>
    <w:qFormat/>
    <w:rPr>
      <w:color w:val="800080"/>
      <w:u w:val="single"/>
    </w:rPr>
  </w:style>
  <w:style w:type="character" w:styleId="a5">
    <w:name w:val="footnote reference"/>
    <w:basedOn w:val="a1"/>
    <w:semiHidden/>
    <w:qFormat/>
    <w:rPr>
      <w:vertAlign w:val="superscript"/>
    </w:rPr>
  </w:style>
  <w:style w:type="character" w:styleId="a6">
    <w:name w:val="annotation reference"/>
    <w:basedOn w:val="a1"/>
    <w:qFormat/>
    <w:rPr>
      <w:sz w:val="16"/>
      <w:szCs w:val="16"/>
    </w:rPr>
  </w:style>
  <w:style w:type="character" w:styleId="a7">
    <w:name w:val="endnote reference"/>
    <w:basedOn w:val="a1"/>
    <w:qFormat/>
    <w:rPr>
      <w:vertAlign w:val="superscript"/>
    </w:rPr>
  </w:style>
  <w:style w:type="character" w:styleId="a8">
    <w:name w:val="Hyperlink"/>
    <w:basedOn w:val="a1"/>
    <w:uiPriority w:val="99"/>
    <w:qFormat/>
    <w:rPr>
      <w:color w:val="0000FF"/>
      <w:u w:val="single"/>
    </w:rPr>
  </w:style>
  <w:style w:type="character" w:styleId="a9">
    <w:name w:val="page number"/>
    <w:basedOn w:val="a1"/>
    <w:qFormat/>
  </w:style>
  <w:style w:type="paragraph" w:styleId="aa">
    <w:name w:val="Balloon Text"/>
    <w:basedOn w:val="a0"/>
    <w:link w:val="ab"/>
    <w:uiPriority w:val="99"/>
    <w:qFormat/>
    <w:rPr>
      <w:rFonts w:ascii="Tahoma" w:hAnsi="Tahoma" w:cs="Tahoma"/>
      <w:sz w:val="16"/>
      <w:szCs w:val="16"/>
    </w:rPr>
  </w:style>
  <w:style w:type="paragraph" w:styleId="ac">
    <w:name w:val="endnote text"/>
    <w:basedOn w:val="a0"/>
    <w:link w:val="ad"/>
    <w:qFormat/>
    <w:rPr>
      <w:sz w:val="20"/>
      <w:szCs w:val="20"/>
    </w:rPr>
  </w:style>
  <w:style w:type="paragraph" w:styleId="ae">
    <w:name w:val="caption"/>
    <w:basedOn w:val="a0"/>
    <w:next w:val="a0"/>
    <w:qFormat/>
    <w:pPr>
      <w:spacing w:before="120" w:after="120"/>
    </w:pPr>
    <w:rPr>
      <w:b/>
      <w:sz w:val="20"/>
      <w:szCs w:val="20"/>
    </w:rPr>
  </w:style>
  <w:style w:type="paragraph" w:styleId="af">
    <w:name w:val="annotation text"/>
    <w:basedOn w:val="a0"/>
    <w:link w:val="af0"/>
    <w:qFormat/>
    <w:rPr>
      <w:sz w:val="20"/>
      <w:szCs w:val="20"/>
    </w:rPr>
  </w:style>
  <w:style w:type="paragraph" w:styleId="af1">
    <w:name w:val="annotation subject"/>
    <w:basedOn w:val="af"/>
    <w:next w:val="af"/>
    <w:link w:val="af2"/>
    <w:qFormat/>
    <w:rPr>
      <w:b/>
      <w:bCs/>
    </w:rPr>
  </w:style>
  <w:style w:type="paragraph" w:styleId="af3">
    <w:name w:val="Document Map"/>
    <w:basedOn w:val="a0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4">
    <w:name w:val="footnote text"/>
    <w:basedOn w:val="a0"/>
    <w:link w:val="af5"/>
    <w:semiHidden/>
    <w:qFormat/>
    <w:rPr>
      <w:sz w:val="20"/>
      <w:szCs w:val="20"/>
    </w:rPr>
  </w:style>
  <w:style w:type="paragraph" w:styleId="80">
    <w:name w:val="toc 8"/>
    <w:basedOn w:val="a0"/>
    <w:next w:val="a0"/>
    <w:uiPriority w:val="39"/>
    <w:qFormat/>
    <w:pPr>
      <w:ind w:left="1680"/>
      <w:jc w:val="left"/>
    </w:pPr>
    <w:rPr>
      <w:sz w:val="24"/>
      <w:lang w:val="en-US" w:eastAsia="en-US"/>
    </w:rPr>
  </w:style>
  <w:style w:type="paragraph" w:styleId="af6">
    <w:name w:val="header"/>
    <w:basedOn w:val="a0"/>
    <w:link w:val="af7"/>
    <w:uiPriority w:val="99"/>
    <w:qFormat/>
    <w:pPr>
      <w:tabs>
        <w:tab w:val="center" w:pos="4677"/>
        <w:tab w:val="right" w:pos="9355"/>
      </w:tabs>
    </w:pPr>
  </w:style>
  <w:style w:type="paragraph" w:styleId="91">
    <w:name w:val="toc 9"/>
    <w:basedOn w:val="a0"/>
    <w:next w:val="a0"/>
    <w:uiPriority w:val="39"/>
    <w:qFormat/>
    <w:pPr>
      <w:ind w:left="192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uiPriority w:val="39"/>
    <w:qFormat/>
    <w:pPr>
      <w:ind w:left="1440"/>
      <w:jc w:val="left"/>
    </w:pPr>
    <w:rPr>
      <w:sz w:val="24"/>
      <w:lang w:val="en-US" w:eastAsia="en-US"/>
    </w:rPr>
  </w:style>
  <w:style w:type="paragraph" w:styleId="af8">
    <w:name w:val="Body Text"/>
    <w:basedOn w:val="a0"/>
    <w:link w:val="af9"/>
    <w:qFormat/>
    <w:pPr>
      <w:spacing w:after="120"/>
    </w:pPr>
  </w:style>
  <w:style w:type="paragraph" w:styleId="11">
    <w:name w:val="toc 1"/>
    <w:basedOn w:val="a0"/>
    <w:next w:val="a0"/>
    <w:uiPriority w:val="39"/>
    <w:qFormat/>
    <w:pPr>
      <w:widowControl w:val="0"/>
      <w:tabs>
        <w:tab w:val="left" w:pos="567"/>
        <w:tab w:val="left" w:pos="9000"/>
        <w:tab w:val="left" w:pos="9180"/>
      </w:tabs>
      <w:ind w:right="468"/>
      <w:jc w:val="left"/>
    </w:pPr>
  </w:style>
  <w:style w:type="paragraph" w:styleId="6">
    <w:name w:val="toc 6"/>
    <w:basedOn w:val="a0"/>
    <w:next w:val="a0"/>
    <w:uiPriority w:val="39"/>
    <w:qFormat/>
    <w:pPr>
      <w:ind w:left="1200"/>
      <w:jc w:val="left"/>
    </w:pPr>
    <w:rPr>
      <w:sz w:val="24"/>
      <w:lang w:val="en-US" w:eastAsia="en-US"/>
    </w:rPr>
  </w:style>
  <w:style w:type="paragraph" w:styleId="3">
    <w:name w:val="toc 3"/>
    <w:basedOn w:val="a0"/>
    <w:next w:val="a0"/>
    <w:uiPriority w:val="39"/>
    <w:qFormat/>
    <w:pPr>
      <w:ind w:left="480"/>
      <w:jc w:val="left"/>
    </w:pPr>
    <w:rPr>
      <w:sz w:val="24"/>
      <w:lang w:val="en-US" w:eastAsia="en-US"/>
    </w:rPr>
  </w:style>
  <w:style w:type="paragraph" w:styleId="20">
    <w:name w:val="toc 2"/>
    <w:basedOn w:val="a0"/>
    <w:next w:val="a0"/>
    <w:uiPriority w:val="39"/>
    <w:qFormat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lang w:val="en-US"/>
    </w:rPr>
  </w:style>
  <w:style w:type="paragraph" w:styleId="42">
    <w:name w:val="toc 4"/>
    <w:basedOn w:val="a0"/>
    <w:next w:val="a0"/>
    <w:uiPriority w:val="39"/>
    <w:qFormat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uiPriority w:val="39"/>
    <w:qFormat/>
    <w:pPr>
      <w:ind w:left="960"/>
      <w:jc w:val="left"/>
    </w:pPr>
    <w:rPr>
      <w:sz w:val="24"/>
      <w:lang w:val="en-US" w:eastAsia="en-US"/>
    </w:rPr>
  </w:style>
  <w:style w:type="paragraph" w:styleId="afa">
    <w:name w:val="Body Text Indent"/>
    <w:basedOn w:val="a0"/>
    <w:link w:val="afb"/>
    <w:qFormat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paragraph" w:styleId="afc">
    <w:name w:val="Title"/>
    <w:basedOn w:val="a0"/>
    <w:qFormat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fd">
    <w:name w:val="footer"/>
    <w:basedOn w:val="a0"/>
    <w:qFormat/>
    <w:pPr>
      <w:tabs>
        <w:tab w:val="center" w:pos="4677"/>
        <w:tab w:val="right" w:pos="9355"/>
      </w:tabs>
      <w:jc w:val="left"/>
    </w:pPr>
    <w:rPr>
      <w:sz w:val="24"/>
    </w:rPr>
  </w:style>
  <w:style w:type="paragraph" w:styleId="afe">
    <w:name w:val="Normal (Web)"/>
    <w:basedOn w:val="a0"/>
    <w:semiHidden/>
    <w:unhideWhenUsed/>
    <w:qFormat/>
    <w:rPr>
      <w:sz w:val="24"/>
    </w:rPr>
  </w:style>
  <w:style w:type="paragraph" w:styleId="aff">
    <w:name w:val="Subtitle"/>
    <w:basedOn w:val="a0"/>
    <w:qFormat/>
    <w:pPr>
      <w:widowControl w:val="0"/>
      <w:jc w:val="center"/>
    </w:pPr>
    <w:rPr>
      <w:b/>
      <w:bCs/>
    </w:rPr>
  </w:style>
  <w:style w:type="table" w:styleId="aff0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Стиль1"/>
    <w:basedOn w:val="a8"/>
    <w:qFormat/>
    <w:rPr>
      <w:rFonts w:ascii="Times New Roman" w:hAnsi="Times New Roman"/>
      <w:color w:val="0000FF"/>
      <w:u w:val="single"/>
      <w:lang w:val="ru-RU"/>
    </w:rPr>
  </w:style>
  <w:style w:type="paragraph" w:customStyle="1" w:styleId="a">
    <w:name w:val="Обычный + полужирный"/>
    <w:basedOn w:val="2"/>
    <w:qFormat/>
    <w:pPr>
      <w:numPr>
        <w:ilvl w:val="2"/>
      </w:numPr>
      <w:ind w:firstLine="567"/>
    </w:pPr>
  </w:style>
  <w:style w:type="paragraph" w:customStyle="1" w:styleId="0">
    <w:name w:val="Обычный + Междустр.интервал:  точно 0 пт"/>
    <w:basedOn w:val="a0"/>
    <w:qFormat/>
    <w:pPr>
      <w:numPr>
        <w:numId w:val="2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ff1">
    <w:name w:val="List Paragraph"/>
    <w:basedOn w:val="a0"/>
    <w:uiPriority w:val="34"/>
    <w:qFormat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aff2">
    <w:name w:val="Знак"/>
    <w:basedOn w:val="a0"/>
    <w:qFormat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3">
    <w:name w:val="Знак1"/>
    <w:basedOn w:val="a0"/>
    <w:qFormat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qFormat/>
  </w:style>
  <w:style w:type="character" w:styleId="aff3">
    <w:name w:val="Placeholder Text"/>
    <w:basedOn w:val="a1"/>
    <w:uiPriority w:val="99"/>
    <w:semiHidden/>
    <w:qFormat/>
    <w:rPr>
      <w:color w:val="808080"/>
    </w:rPr>
  </w:style>
  <w:style w:type="character" w:customStyle="1" w:styleId="ab">
    <w:name w:val="Текст выноски Знак"/>
    <w:basedOn w:val="a1"/>
    <w:link w:val="aa"/>
    <w:uiPriority w:val="99"/>
    <w:qFormat/>
    <w:rPr>
      <w:rFonts w:ascii="Tahoma" w:hAnsi="Tahoma" w:cs="Tahoma"/>
      <w:sz w:val="16"/>
      <w:szCs w:val="16"/>
    </w:rPr>
  </w:style>
  <w:style w:type="character" w:customStyle="1" w:styleId="af7">
    <w:name w:val="Верхний колонтитул Знак"/>
    <w:basedOn w:val="a1"/>
    <w:link w:val="af6"/>
    <w:uiPriority w:val="99"/>
    <w:qFormat/>
    <w:rPr>
      <w:sz w:val="28"/>
      <w:szCs w:val="24"/>
    </w:rPr>
  </w:style>
  <w:style w:type="character" w:customStyle="1" w:styleId="ad">
    <w:name w:val="Текст концевой сноски Знак"/>
    <w:basedOn w:val="a1"/>
    <w:link w:val="ac"/>
    <w:qFormat/>
  </w:style>
  <w:style w:type="paragraph" w:customStyle="1" w:styleId="14">
    <w:name w:val="Обычный1"/>
    <w:qFormat/>
    <w:pPr>
      <w:snapToGrid w:val="0"/>
    </w:pPr>
    <w:rPr>
      <w:rFonts w:eastAsia="Times New Roman"/>
      <w:sz w:val="24"/>
    </w:rPr>
  </w:style>
  <w:style w:type="character" w:customStyle="1" w:styleId="FontStyle101">
    <w:name w:val="Font Style101"/>
    <w:basedOn w:val="a1"/>
    <w:uiPriority w:val="99"/>
    <w:qFormat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qFormat/>
    <w:pPr>
      <w:snapToGrid w:val="0"/>
    </w:pPr>
    <w:rPr>
      <w:rFonts w:eastAsia="Times New Roman"/>
      <w:sz w:val="24"/>
    </w:rPr>
  </w:style>
  <w:style w:type="character" w:customStyle="1" w:styleId="afb">
    <w:name w:val="Основной текст с отступом Знак"/>
    <w:basedOn w:val="a1"/>
    <w:link w:val="afa"/>
    <w:qFormat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qFormat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f4">
    <w:name w:val="Нормальный"/>
    <w:qFormat/>
    <w:rPr>
      <w:rFonts w:eastAsia="Times New Roman"/>
      <w:sz w:val="24"/>
    </w:rPr>
  </w:style>
  <w:style w:type="paragraph" w:customStyle="1" w:styleId="Iauiue">
    <w:name w:val="Iau?iue"/>
    <w:qFormat/>
    <w:rPr>
      <w:rFonts w:eastAsia="Calibri"/>
      <w:lang w:val="en-US"/>
    </w:rPr>
  </w:style>
  <w:style w:type="paragraph" w:customStyle="1" w:styleId="Style41">
    <w:name w:val="Style4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qFormat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qFormat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qFormat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qFormat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basedOn w:val="a1"/>
    <w:uiPriority w:val="99"/>
    <w:qFormat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basedOn w:val="a1"/>
    <w:uiPriority w:val="99"/>
    <w:qFormat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basedOn w:val="a1"/>
    <w:uiPriority w:val="99"/>
    <w:qFormat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basedOn w:val="a1"/>
    <w:uiPriority w:val="99"/>
    <w:qFormat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basedOn w:val="a1"/>
    <w:uiPriority w:val="99"/>
    <w:qFormat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basedOn w:val="a1"/>
    <w:uiPriority w:val="99"/>
    <w:qFormat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qFormat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qFormat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basedOn w:val="a1"/>
    <w:uiPriority w:val="99"/>
    <w:qFormat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basedOn w:val="a1"/>
    <w:uiPriority w:val="99"/>
    <w:qFormat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qFormat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basedOn w:val="a1"/>
    <w:uiPriority w:val="99"/>
    <w:qFormat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qFormat/>
    <w:rPr>
      <w:b/>
      <w:sz w:val="28"/>
      <w:szCs w:val="28"/>
    </w:rPr>
  </w:style>
  <w:style w:type="paragraph" w:customStyle="1" w:styleId="Style18">
    <w:name w:val="Style1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basedOn w:val="a1"/>
    <w:uiPriority w:val="99"/>
    <w:qFormat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qFormat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qFormat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qFormat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qFormat/>
  </w:style>
  <w:style w:type="character" w:customStyle="1" w:styleId="FontStyle29">
    <w:name w:val="Font Style29"/>
    <w:uiPriority w:val="99"/>
    <w:qFormat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qFormat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qFormat/>
  </w:style>
  <w:style w:type="character" w:customStyle="1" w:styleId="af9">
    <w:name w:val="Основной текст Знак"/>
    <w:basedOn w:val="a1"/>
    <w:link w:val="af8"/>
    <w:qFormat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qFormat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285pt">
    <w:name w:val="Основной текст (2) + 8;5 pt;Полужирный"/>
    <w:basedOn w:val="22"/>
    <w:qFormat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qFormat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af5">
    <w:name w:val="Текст сноски Знак"/>
    <w:basedOn w:val="a1"/>
    <w:link w:val="af4"/>
    <w:semiHidden/>
    <w:qFormat/>
  </w:style>
  <w:style w:type="character" w:customStyle="1" w:styleId="FontStyle76">
    <w:name w:val="Font Style76"/>
    <w:basedOn w:val="a1"/>
    <w:uiPriority w:val="99"/>
    <w:qFormat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qFormat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qFormat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qFormat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qFormat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qFormat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qFormat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qFormat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qFormat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qFormat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qFormat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qFormat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qFormat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qFormat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qFormat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qFormat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qFormat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qFormat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qFormat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qFormat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qFormat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qFormat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qFormat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qFormat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qFormat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qFormat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qFormat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qFormat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qFormat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qFormat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qFormat/>
    <w:pPr>
      <w:spacing w:before="100" w:beforeAutospacing="1" w:after="100" w:afterAutospacing="1"/>
      <w:jc w:val="left"/>
    </w:pPr>
    <w:rPr>
      <w:sz w:val="24"/>
    </w:rPr>
  </w:style>
  <w:style w:type="character" w:customStyle="1" w:styleId="af0">
    <w:name w:val="Текст примечания Знак"/>
    <w:basedOn w:val="a1"/>
    <w:link w:val="af"/>
    <w:qFormat/>
  </w:style>
  <w:style w:type="character" w:customStyle="1" w:styleId="af2">
    <w:name w:val="Тема примечания Знак"/>
    <w:basedOn w:val="af0"/>
    <w:link w:val="af1"/>
    <w:qFormat/>
    <w:rPr>
      <w:b/>
      <w:bCs/>
    </w:rPr>
  </w:style>
  <w:style w:type="character" w:customStyle="1" w:styleId="aff5">
    <w:name w:val="Другое_"/>
    <w:link w:val="aff6"/>
    <w:qFormat/>
    <w:locked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qFormat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formattext">
    <w:name w:val="formattext"/>
    <w:basedOn w:val="a0"/>
    <w:qFormat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qFormat/>
    <w:rPr>
      <w:rFonts w:ascii="SymbolMT" w:hAnsi="SymbolMT" w:hint="default"/>
      <w:color w:val="000000"/>
      <w:sz w:val="24"/>
      <w:szCs w:val="24"/>
    </w:rPr>
  </w:style>
  <w:style w:type="character" w:customStyle="1" w:styleId="FontStyle49">
    <w:name w:val="Font Style49"/>
    <w:basedOn w:val="a1"/>
    <w:uiPriority w:val="99"/>
    <w:qFormat/>
    <w:rPr>
      <w:rFonts w:ascii="Georgia" w:hAnsi="Georgia" w:cs="Georgia"/>
      <w:i/>
      <w:iCs/>
      <w:color w:val="000000"/>
      <w:sz w:val="18"/>
      <w:szCs w:val="18"/>
    </w:rPr>
  </w:style>
  <w:style w:type="character" w:customStyle="1" w:styleId="FontStyle28">
    <w:name w:val="Font Style28"/>
    <w:basedOn w:val="a1"/>
    <w:uiPriority w:val="99"/>
    <w:qFormat/>
    <w:rPr>
      <w:rFonts w:ascii="Bookman Old Style" w:hAnsi="Bookman Old Style" w:cs="Bookman Old Style"/>
      <w:color w:val="000000"/>
      <w:spacing w:val="10"/>
      <w:sz w:val="40"/>
      <w:szCs w:val="40"/>
    </w:rPr>
  </w:style>
  <w:style w:type="table" w:customStyle="1" w:styleId="15">
    <w:name w:val="Сетка таблицы1"/>
    <w:basedOn w:val="a2"/>
    <w:uiPriority w:val="59"/>
    <w:qFormat/>
    <w:rPr>
      <w:rFonts w:eastAsia="Times New Roman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0" w:unhideWhenUsed="0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 w:qFormat="1"/>
    <w:lsdException w:name="toc 7" w:semiHidden="0" w:uiPriority="39" w:unhideWhenUsed="0" w:qFormat="1"/>
    <w:lsdException w:name="toc 8" w:semiHidden="0" w:uiPriority="39" w:unhideWhenUsed="0" w:qFormat="1"/>
    <w:lsdException w:name="toc 9" w:semiHidden="0" w:uiPriority="39" w:unhideWhenUsed="0" w:qFormat="1"/>
    <w:lsdException w:name="footnote text" w:unhideWhenUsed="0" w:qFormat="1"/>
    <w:lsdException w:name="annotation text" w:semiHidden="0" w:unhideWhenUsed="0" w:qFormat="1"/>
    <w:lsdException w:name="header" w:semiHidden="0" w:uiPriority="99" w:unhideWhenUsed="0" w:qFormat="1"/>
    <w:lsdException w:name="footer" w:semiHidden="0" w:unhideWhenUsed="0" w:qFormat="1"/>
    <w:lsdException w:name="caption" w:semiHidden="0" w:unhideWhenUsed="0" w:qFormat="1"/>
    <w:lsdException w:name="footnote reference" w:unhideWhenUsed="0" w:qFormat="1"/>
    <w:lsdException w:name="annotation reference" w:semiHidden="0" w:unhideWhenUsed="0" w:qFormat="1"/>
    <w:lsdException w:name="page number" w:semiHidden="0" w:unhideWhenUsed="0" w:qFormat="1"/>
    <w:lsdException w:name="endnote reference" w:semiHidden="0" w:unhideWhenUsed="0" w:qFormat="1"/>
    <w:lsdException w:name="endnote text" w:semiHidden="0" w:unhideWhenUsed="0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List Continue 3" w:semiHidden="0" w:unhideWhenUsed="0"/>
    <w:lsdException w:name="List Continue 4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semiHidden="0" w:uiPriority="99" w:unhideWhenUsed="0" w:qFormat="1"/>
    <w:lsdException w:name="FollowedHyperlink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semiHidden="0" w:uiPriority="5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jc w:val="both"/>
    </w:pPr>
    <w:rPr>
      <w:rFonts w:eastAsia="Times New Roman"/>
      <w:sz w:val="28"/>
      <w:szCs w:val="24"/>
    </w:rPr>
  </w:style>
  <w:style w:type="paragraph" w:styleId="1">
    <w:name w:val="heading 1"/>
    <w:next w:val="a0"/>
    <w:link w:val="10"/>
    <w:uiPriority w:val="9"/>
    <w:qFormat/>
    <w:pPr>
      <w:widowControl w:val="0"/>
      <w:tabs>
        <w:tab w:val="left" w:pos="1134"/>
      </w:tabs>
      <w:spacing w:before="240" w:after="240"/>
      <w:ind w:firstLine="720"/>
      <w:outlineLvl w:val="0"/>
    </w:pPr>
    <w:rPr>
      <w:rFonts w:eastAsia="Times New Roman"/>
      <w:b/>
      <w:sz w:val="28"/>
      <w:szCs w:val="28"/>
    </w:rPr>
  </w:style>
  <w:style w:type="paragraph" w:styleId="2">
    <w:name w:val="heading 2"/>
    <w:basedOn w:val="4"/>
    <w:next w:val="a0"/>
    <w:qFormat/>
    <w:pPr>
      <w:keepNext/>
      <w:numPr>
        <w:ilvl w:val="1"/>
        <w:numId w:val="1"/>
      </w:numPr>
      <w:spacing w:after="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Continue 4"/>
    <w:basedOn w:val="a0"/>
    <w:qFormat/>
    <w:pPr>
      <w:spacing w:after="120"/>
      <w:ind w:left="1132"/>
    </w:pPr>
  </w:style>
  <w:style w:type="character" w:styleId="a4">
    <w:name w:val="FollowedHyperlink"/>
    <w:basedOn w:val="a1"/>
    <w:qFormat/>
    <w:rPr>
      <w:color w:val="800080"/>
      <w:u w:val="single"/>
    </w:rPr>
  </w:style>
  <w:style w:type="character" w:styleId="a5">
    <w:name w:val="footnote reference"/>
    <w:basedOn w:val="a1"/>
    <w:semiHidden/>
    <w:qFormat/>
    <w:rPr>
      <w:vertAlign w:val="superscript"/>
    </w:rPr>
  </w:style>
  <w:style w:type="character" w:styleId="a6">
    <w:name w:val="annotation reference"/>
    <w:basedOn w:val="a1"/>
    <w:qFormat/>
    <w:rPr>
      <w:sz w:val="16"/>
      <w:szCs w:val="16"/>
    </w:rPr>
  </w:style>
  <w:style w:type="character" w:styleId="a7">
    <w:name w:val="endnote reference"/>
    <w:basedOn w:val="a1"/>
    <w:qFormat/>
    <w:rPr>
      <w:vertAlign w:val="superscript"/>
    </w:rPr>
  </w:style>
  <w:style w:type="character" w:styleId="a8">
    <w:name w:val="Hyperlink"/>
    <w:basedOn w:val="a1"/>
    <w:uiPriority w:val="99"/>
    <w:qFormat/>
    <w:rPr>
      <w:color w:val="0000FF"/>
      <w:u w:val="single"/>
    </w:rPr>
  </w:style>
  <w:style w:type="character" w:styleId="a9">
    <w:name w:val="page number"/>
    <w:basedOn w:val="a1"/>
    <w:qFormat/>
  </w:style>
  <w:style w:type="paragraph" w:styleId="aa">
    <w:name w:val="Balloon Text"/>
    <w:basedOn w:val="a0"/>
    <w:link w:val="ab"/>
    <w:uiPriority w:val="99"/>
    <w:qFormat/>
    <w:rPr>
      <w:rFonts w:ascii="Tahoma" w:hAnsi="Tahoma" w:cs="Tahoma"/>
      <w:sz w:val="16"/>
      <w:szCs w:val="16"/>
    </w:rPr>
  </w:style>
  <w:style w:type="paragraph" w:styleId="ac">
    <w:name w:val="endnote text"/>
    <w:basedOn w:val="a0"/>
    <w:link w:val="ad"/>
    <w:qFormat/>
    <w:rPr>
      <w:sz w:val="20"/>
      <w:szCs w:val="20"/>
    </w:rPr>
  </w:style>
  <w:style w:type="paragraph" w:styleId="ae">
    <w:name w:val="caption"/>
    <w:basedOn w:val="a0"/>
    <w:next w:val="a0"/>
    <w:qFormat/>
    <w:pPr>
      <w:spacing w:before="120" w:after="120"/>
    </w:pPr>
    <w:rPr>
      <w:b/>
      <w:sz w:val="20"/>
      <w:szCs w:val="20"/>
    </w:rPr>
  </w:style>
  <w:style w:type="paragraph" w:styleId="af">
    <w:name w:val="annotation text"/>
    <w:basedOn w:val="a0"/>
    <w:link w:val="af0"/>
    <w:qFormat/>
    <w:rPr>
      <w:sz w:val="20"/>
      <w:szCs w:val="20"/>
    </w:rPr>
  </w:style>
  <w:style w:type="paragraph" w:styleId="af1">
    <w:name w:val="annotation subject"/>
    <w:basedOn w:val="af"/>
    <w:next w:val="af"/>
    <w:link w:val="af2"/>
    <w:qFormat/>
    <w:rPr>
      <w:b/>
      <w:bCs/>
    </w:rPr>
  </w:style>
  <w:style w:type="paragraph" w:styleId="af3">
    <w:name w:val="Document Map"/>
    <w:basedOn w:val="a0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4">
    <w:name w:val="footnote text"/>
    <w:basedOn w:val="a0"/>
    <w:link w:val="af5"/>
    <w:semiHidden/>
    <w:qFormat/>
    <w:rPr>
      <w:sz w:val="20"/>
      <w:szCs w:val="20"/>
    </w:rPr>
  </w:style>
  <w:style w:type="paragraph" w:styleId="80">
    <w:name w:val="toc 8"/>
    <w:basedOn w:val="a0"/>
    <w:next w:val="a0"/>
    <w:uiPriority w:val="39"/>
    <w:qFormat/>
    <w:pPr>
      <w:ind w:left="1680"/>
      <w:jc w:val="left"/>
    </w:pPr>
    <w:rPr>
      <w:sz w:val="24"/>
      <w:lang w:val="en-US" w:eastAsia="en-US"/>
    </w:rPr>
  </w:style>
  <w:style w:type="paragraph" w:styleId="af6">
    <w:name w:val="header"/>
    <w:basedOn w:val="a0"/>
    <w:link w:val="af7"/>
    <w:uiPriority w:val="99"/>
    <w:qFormat/>
    <w:pPr>
      <w:tabs>
        <w:tab w:val="center" w:pos="4677"/>
        <w:tab w:val="right" w:pos="9355"/>
      </w:tabs>
    </w:pPr>
  </w:style>
  <w:style w:type="paragraph" w:styleId="91">
    <w:name w:val="toc 9"/>
    <w:basedOn w:val="a0"/>
    <w:next w:val="a0"/>
    <w:uiPriority w:val="39"/>
    <w:qFormat/>
    <w:pPr>
      <w:ind w:left="192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uiPriority w:val="39"/>
    <w:qFormat/>
    <w:pPr>
      <w:ind w:left="1440"/>
      <w:jc w:val="left"/>
    </w:pPr>
    <w:rPr>
      <w:sz w:val="24"/>
      <w:lang w:val="en-US" w:eastAsia="en-US"/>
    </w:rPr>
  </w:style>
  <w:style w:type="paragraph" w:styleId="af8">
    <w:name w:val="Body Text"/>
    <w:basedOn w:val="a0"/>
    <w:link w:val="af9"/>
    <w:qFormat/>
    <w:pPr>
      <w:spacing w:after="120"/>
    </w:pPr>
  </w:style>
  <w:style w:type="paragraph" w:styleId="11">
    <w:name w:val="toc 1"/>
    <w:basedOn w:val="a0"/>
    <w:next w:val="a0"/>
    <w:uiPriority w:val="39"/>
    <w:qFormat/>
    <w:pPr>
      <w:widowControl w:val="0"/>
      <w:tabs>
        <w:tab w:val="left" w:pos="567"/>
        <w:tab w:val="left" w:pos="9000"/>
        <w:tab w:val="left" w:pos="9180"/>
      </w:tabs>
      <w:ind w:right="468"/>
      <w:jc w:val="left"/>
    </w:pPr>
  </w:style>
  <w:style w:type="paragraph" w:styleId="6">
    <w:name w:val="toc 6"/>
    <w:basedOn w:val="a0"/>
    <w:next w:val="a0"/>
    <w:uiPriority w:val="39"/>
    <w:qFormat/>
    <w:pPr>
      <w:ind w:left="1200"/>
      <w:jc w:val="left"/>
    </w:pPr>
    <w:rPr>
      <w:sz w:val="24"/>
      <w:lang w:val="en-US" w:eastAsia="en-US"/>
    </w:rPr>
  </w:style>
  <w:style w:type="paragraph" w:styleId="3">
    <w:name w:val="toc 3"/>
    <w:basedOn w:val="a0"/>
    <w:next w:val="a0"/>
    <w:uiPriority w:val="39"/>
    <w:qFormat/>
    <w:pPr>
      <w:ind w:left="480"/>
      <w:jc w:val="left"/>
    </w:pPr>
    <w:rPr>
      <w:sz w:val="24"/>
      <w:lang w:val="en-US" w:eastAsia="en-US"/>
    </w:rPr>
  </w:style>
  <w:style w:type="paragraph" w:styleId="20">
    <w:name w:val="toc 2"/>
    <w:basedOn w:val="a0"/>
    <w:next w:val="a0"/>
    <w:uiPriority w:val="39"/>
    <w:qFormat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lang w:val="en-US"/>
    </w:rPr>
  </w:style>
  <w:style w:type="paragraph" w:styleId="42">
    <w:name w:val="toc 4"/>
    <w:basedOn w:val="a0"/>
    <w:next w:val="a0"/>
    <w:uiPriority w:val="39"/>
    <w:qFormat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uiPriority w:val="39"/>
    <w:qFormat/>
    <w:pPr>
      <w:ind w:left="960"/>
      <w:jc w:val="left"/>
    </w:pPr>
    <w:rPr>
      <w:sz w:val="24"/>
      <w:lang w:val="en-US" w:eastAsia="en-US"/>
    </w:rPr>
  </w:style>
  <w:style w:type="paragraph" w:styleId="afa">
    <w:name w:val="Body Text Indent"/>
    <w:basedOn w:val="a0"/>
    <w:link w:val="afb"/>
    <w:qFormat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paragraph" w:styleId="afc">
    <w:name w:val="Title"/>
    <w:basedOn w:val="a0"/>
    <w:qFormat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fd">
    <w:name w:val="footer"/>
    <w:basedOn w:val="a0"/>
    <w:qFormat/>
    <w:pPr>
      <w:tabs>
        <w:tab w:val="center" w:pos="4677"/>
        <w:tab w:val="right" w:pos="9355"/>
      </w:tabs>
      <w:jc w:val="left"/>
    </w:pPr>
    <w:rPr>
      <w:sz w:val="24"/>
    </w:rPr>
  </w:style>
  <w:style w:type="paragraph" w:styleId="afe">
    <w:name w:val="Normal (Web)"/>
    <w:basedOn w:val="a0"/>
    <w:semiHidden/>
    <w:unhideWhenUsed/>
    <w:qFormat/>
    <w:rPr>
      <w:sz w:val="24"/>
    </w:rPr>
  </w:style>
  <w:style w:type="paragraph" w:styleId="aff">
    <w:name w:val="Subtitle"/>
    <w:basedOn w:val="a0"/>
    <w:qFormat/>
    <w:pPr>
      <w:widowControl w:val="0"/>
      <w:jc w:val="center"/>
    </w:pPr>
    <w:rPr>
      <w:b/>
      <w:bCs/>
    </w:rPr>
  </w:style>
  <w:style w:type="table" w:styleId="aff0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Стиль1"/>
    <w:basedOn w:val="a8"/>
    <w:qFormat/>
    <w:rPr>
      <w:rFonts w:ascii="Times New Roman" w:hAnsi="Times New Roman"/>
      <w:color w:val="0000FF"/>
      <w:u w:val="single"/>
      <w:lang w:val="ru-RU"/>
    </w:rPr>
  </w:style>
  <w:style w:type="paragraph" w:customStyle="1" w:styleId="a">
    <w:name w:val="Обычный + полужирный"/>
    <w:basedOn w:val="2"/>
    <w:qFormat/>
    <w:pPr>
      <w:numPr>
        <w:ilvl w:val="2"/>
      </w:numPr>
      <w:ind w:firstLine="567"/>
    </w:pPr>
  </w:style>
  <w:style w:type="paragraph" w:customStyle="1" w:styleId="0">
    <w:name w:val="Обычный + Междустр.интервал:  точно 0 пт"/>
    <w:basedOn w:val="a0"/>
    <w:qFormat/>
    <w:pPr>
      <w:numPr>
        <w:numId w:val="2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ff1">
    <w:name w:val="List Paragraph"/>
    <w:basedOn w:val="a0"/>
    <w:uiPriority w:val="34"/>
    <w:qFormat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aff2">
    <w:name w:val="Знак"/>
    <w:basedOn w:val="a0"/>
    <w:qFormat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3">
    <w:name w:val="Знак1"/>
    <w:basedOn w:val="a0"/>
    <w:qFormat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qFormat/>
  </w:style>
  <w:style w:type="character" w:styleId="aff3">
    <w:name w:val="Placeholder Text"/>
    <w:basedOn w:val="a1"/>
    <w:uiPriority w:val="99"/>
    <w:semiHidden/>
    <w:qFormat/>
    <w:rPr>
      <w:color w:val="808080"/>
    </w:rPr>
  </w:style>
  <w:style w:type="character" w:customStyle="1" w:styleId="ab">
    <w:name w:val="Текст выноски Знак"/>
    <w:basedOn w:val="a1"/>
    <w:link w:val="aa"/>
    <w:uiPriority w:val="99"/>
    <w:qFormat/>
    <w:rPr>
      <w:rFonts w:ascii="Tahoma" w:hAnsi="Tahoma" w:cs="Tahoma"/>
      <w:sz w:val="16"/>
      <w:szCs w:val="16"/>
    </w:rPr>
  </w:style>
  <w:style w:type="character" w:customStyle="1" w:styleId="af7">
    <w:name w:val="Верхний колонтитул Знак"/>
    <w:basedOn w:val="a1"/>
    <w:link w:val="af6"/>
    <w:uiPriority w:val="99"/>
    <w:qFormat/>
    <w:rPr>
      <w:sz w:val="28"/>
      <w:szCs w:val="24"/>
    </w:rPr>
  </w:style>
  <w:style w:type="character" w:customStyle="1" w:styleId="ad">
    <w:name w:val="Текст концевой сноски Знак"/>
    <w:basedOn w:val="a1"/>
    <w:link w:val="ac"/>
    <w:qFormat/>
  </w:style>
  <w:style w:type="paragraph" w:customStyle="1" w:styleId="14">
    <w:name w:val="Обычный1"/>
    <w:qFormat/>
    <w:pPr>
      <w:snapToGrid w:val="0"/>
    </w:pPr>
    <w:rPr>
      <w:rFonts w:eastAsia="Times New Roman"/>
      <w:sz w:val="24"/>
    </w:rPr>
  </w:style>
  <w:style w:type="character" w:customStyle="1" w:styleId="FontStyle101">
    <w:name w:val="Font Style101"/>
    <w:basedOn w:val="a1"/>
    <w:uiPriority w:val="99"/>
    <w:qFormat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qFormat/>
    <w:pPr>
      <w:snapToGrid w:val="0"/>
    </w:pPr>
    <w:rPr>
      <w:rFonts w:eastAsia="Times New Roman"/>
      <w:sz w:val="24"/>
    </w:rPr>
  </w:style>
  <w:style w:type="character" w:customStyle="1" w:styleId="afb">
    <w:name w:val="Основной текст с отступом Знак"/>
    <w:basedOn w:val="a1"/>
    <w:link w:val="afa"/>
    <w:qFormat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qFormat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f4">
    <w:name w:val="Нормальный"/>
    <w:qFormat/>
    <w:rPr>
      <w:rFonts w:eastAsia="Times New Roman"/>
      <w:sz w:val="24"/>
    </w:rPr>
  </w:style>
  <w:style w:type="paragraph" w:customStyle="1" w:styleId="Iauiue">
    <w:name w:val="Iau?iue"/>
    <w:qFormat/>
    <w:rPr>
      <w:rFonts w:eastAsia="Calibri"/>
      <w:lang w:val="en-US"/>
    </w:rPr>
  </w:style>
  <w:style w:type="paragraph" w:customStyle="1" w:styleId="Style41">
    <w:name w:val="Style4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qFormat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qFormat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qFormat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qFormat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basedOn w:val="a1"/>
    <w:uiPriority w:val="99"/>
    <w:qFormat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basedOn w:val="a1"/>
    <w:uiPriority w:val="99"/>
    <w:qFormat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basedOn w:val="a1"/>
    <w:uiPriority w:val="99"/>
    <w:qFormat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basedOn w:val="a1"/>
    <w:uiPriority w:val="99"/>
    <w:qFormat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basedOn w:val="a1"/>
    <w:uiPriority w:val="99"/>
    <w:qFormat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basedOn w:val="a1"/>
    <w:uiPriority w:val="99"/>
    <w:qFormat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qFormat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qFormat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basedOn w:val="a1"/>
    <w:uiPriority w:val="99"/>
    <w:qFormat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basedOn w:val="a1"/>
    <w:uiPriority w:val="99"/>
    <w:qFormat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qFormat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basedOn w:val="a1"/>
    <w:uiPriority w:val="99"/>
    <w:qFormat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qFormat/>
    <w:rPr>
      <w:b/>
      <w:sz w:val="28"/>
      <w:szCs w:val="28"/>
    </w:rPr>
  </w:style>
  <w:style w:type="paragraph" w:customStyle="1" w:styleId="Style18">
    <w:name w:val="Style1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basedOn w:val="a1"/>
    <w:uiPriority w:val="99"/>
    <w:qFormat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qFormat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qFormat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qFormat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qFormat/>
  </w:style>
  <w:style w:type="character" w:customStyle="1" w:styleId="FontStyle29">
    <w:name w:val="Font Style29"/>
    <w:uiPriority w:val="99"/>
    <w:qFormat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qFormat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qFormat/>
  </w:style>
  <w:style w:type="character" w:customStyle="1" w:styleId="af9">
    <w:name w:val="Основной текст Знак"/>
    <w:basedOn w:val="a1"/>
    <w:link w:val="af8"/>
    <w:qFormat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qFormat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285pt">
    <w:name w:val="Основной текст (2) + 8;5 pt;Полужирный"/>
    <w:basedOn w:val="22"/>
    <w:qFormat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qFormat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af5">
    <w:name w:val="Текст сноски Знак"/>
    <w:basedOn w:val="a1"/>
    <w:link w:val="af4"/>
    <w:semiHidden/>
    <w:qFormat/>
  </w:style>
  <w:style w:type="character" w:customStyle="1" w:styleId="FontStyle76">
    <w:name w:val="Font Style76"/>
    <w:basedOn w:val="a1"/>
    <w:uiPriority w:val="99"/>
    <w:qFormat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qFormat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qFormat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qFormat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qFormat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qFormat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qFormat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qFormat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qFormat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qFormat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qFormat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qFormat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qFormat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qFormat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qFormat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qFormat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qFormat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qFormat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qFormat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qFormat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qFormat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qFormat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qFormat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qFormat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qFormat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qFormat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qFormat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qFormat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qFormat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qFormat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qFormat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qFormat/>
    <w:pPr>
      <w:spacing w:before="100" w:beforeAutospacing="1" w:after="100" w:afterAutospacing="1"/>
      <w:jc w:val="left"/>
    </w:pPr>
    <w:rPr>
      <w:sz w:val="24"/>
    </w:rPr>
  </w:style>
  <w:style w:type="character" w:customStyle="1" w:styleId="af0">
    <w:name w:val="Текст примечания Знак"/>
    <w:basedOn w:val="a1"/>
    <w:link w:val="af"/>
    <w:qFormat/>
  </w:style>
  <w:style w:type="character" w:customStyle="1" w:styleId="af2">
    <w:name w:val="Тема примечания Знак"/>
    <w:basedOn w:val="af0"/>
    <w:link w:val="af1"/>
    <w:qFormat/>
    <w:rPr>
      <w:b/>
      <w:bCs/>
    </w:rPr>
  </w:style>
  <w:style w:type="character" w:customStyle="1" w:styleId="aff5">
    <w:name w:val="Другое_"/>
    <w:link w:val="aff6"/>
    <w:qFormat/>
    <w:locked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qFormat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formattext">
    <w:name w:val="formattext"/>
    <w:basedOn w:val="a0"/>
    <w:qFormat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qFormat/>
    <w:rPr>
      <w:rFonts w:ascii="SymbolMT" w:hAnsi="SymbolMT" w:hint="default"/>
      <w:color w:val="000000"/>
      <w:sz w:val="24"/>
      <w:szCs w:val="24"/>
    </w:rPr>
  </w:style>
  <w:style w:type="character" w:customStyle="1" w:styleId="FontStyle49">
    <w:name w:val="Font Style49"/>
    <w:basedOn w:val="a1"/>
    <w:uiPriority w:val="99"/>
    <w:qFormat/>
    <w:rPr>
      <w:rFonts w:ascii="Georgia" w:hAnsi="Georgia" w:cs="Georgia"/>
      <w:i/>
      <w:iCs/>
      <w:color w:val="000000"/>
      <w:sz w:val="18"/>
      <w:szCs w:val="18"/>
    </w:rPr>
  </w:style>
  <w:style w:type="character" w:customStyle="1" w:styleId="FontStyle28">
    <w:name w:val="Font Style28"/>
    <w:basedOn w:val="a1"/>
    <w:uiPriority w:val="99"/>
    <w:qFormat/>
    <w:rPr>
      <w:rFonts w:ascii="Bookman Old Style" w:hAnsi="Bookman Old Style" w:cs="Bookman Old Style"/>
      <w:color w:val="000000"/>
      <w:spacing w:val="10"/>
      <w:sz w:val="40"/>
      <w:szCs w:val="40"/>
    </w:rPr>
  </w:style>
  <w:style w:type="table" w:customStyle="1" w:styleId="15">
    <w:name w:val="Сетка таблицы1"/>
    <w:basedOn w:val="a2"/>
    <w:uiPriority w:val="59"/>
    <w:qFormat/>
    <w:rPr>
      <w:rFonts w:eastAsia="Times New Roman"/>
      <w:lang w:val="zh-CN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so.org/obp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hyperlink" Target="http://www.electropedia.org/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240BBD-88F4-4C79-8356-CFD47A7CB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1479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9892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1</cp:lastModifiedBy>
  <cp:revision>8</cp:revision>
  <cp:lastPrinted>2017-07-17T05:28:00Z</cp:lastPrinted>
  <dcterms:created xsi:type="dcterms:W3CDTF">2020-07-29T10:48:00Z</dcterms:created>
  <dcterms:modified xsi:type="dcterms:W3CDTF">2023-05-23T09:22:00Z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4F4D8C70FB584D18B7239F1147277362</vt:lpwstr>
  </property>
</Properties>
</file>